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png" ContentType="image/jpeg"/>
  <Override PartName="/word/media/image10.png" ContentType="image/jpeg"/>
  <Override PartName="/word/media/image11.png" ContentType="image/jpeg"/>
  <Override PartName="/word/media/image12.png" ContentType="image/jpeg"/>
  <Override PartName="/word/media/image15.png" ContentType="image/jpeg"/>
  <Override PartName="/word/media/image16.png" ContentType="image/jpeg"/>
  <Override PartName="/word/media/image2.png" ContentType="image/jpeg"/>
  <Override PartName="/word/media/image5.png" ContentType="image/jpeg"/>
  <Override PartName="/word/media/image6.png" ContentType="image/jpeg"/>
  <Override PartName="/word/media/image7.png" ContentType="image/jpeg"/>
  <Override PartName="/word/media/image9.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950"/>
        <w:jc w:val="center"/>
        <w:tblLayout w:type="fixed"/>
        <w:tblLook w:firstColumn="1" w:firstRow="1" w:lastColumn="0" w:lastRow="0" w:noHBand="0" w:noVBand="1" w:val="04A0"/>
        <w:tblInd w:w="420" w:type="dxa"/>
      </w:tblPr>
      <w:tblGrid>
        <w:gridCol w:w="9950"/>
      </w:tblGrid>
      <w:tr>
        <w:tc>
          <w:tcPr>
            <w:tcW w:type="dxa" w:w="9950"/>
            <w:shd w:fill="11161E"/>
            <w:tcMar>
              <w:top w:w="360" w:type="dxa"/>
              <w:start w:w="420" w:type="dxa"/>
              <w:bottom w:w="320" w:type="dxa"/>
              <w:end w:w="420" w:type="dxa"/>
            </w:tcMar>
          </w:tcPr>
          <w:p>
            <w:r>
              <w:rPr>
                <w:b/>
                <w:i w:val="0"/>
                <w:color w:val="2EC4B6"/>
                <w:sz w:val="18"/>
                <w:lang w:val="en-US"/>
              </w:rPr>
              <w:t>RHOMINDS  /  RHOQUESTIONNAIRE</w:t>
            </w:r>
          </w:p>
          <w:p>
            <w:pPr>
              <w:spacing w:before="200" w:after="120"/>
            </w:pPr>
            <w:r>
              <w:rPr>
                <w:b/>
                <w:i w:val="0"/>
                <w:color w:val="FFFFFF"/>
                <w:sz w:val="56"/>
                <w:lang w:val="en-US"/>
              </w:rPr>
              <w:t>RhoQuestionnaire</w:t>
              <w:br/>
              <w:t>User Guide</w:t>
            </w:r>
          </w:p>
          <w:p>
            <w:pPr>
              <w:spacing w:after="100"/>
            </w:pPr>
            <w:r>
              <w:rPr>
                <w:b w:val="0"/>
                <w:i w:val="0"/>
                <w:color w:val="DCE2E8"/>
                <w:sz w:val="24"/>
                <w:lang w:val="en-US"/>
              </w:rPr>
              <w:t>Create, deliver, and understand repeatable questionnaires across every audience.</w:t>
            </w:r>
          </w:p>
          <w:p>
            <w:r>
              <w:rPr>
                <w:b/>
                <w:i w:val="0"/>
                <w:color w:val="FF7A1A"/>
                <w:sz w:val="18"/>
                <w:lang w:val="en-US"/>
              </w:rPr>
              <w:t>For company administrators, questionnaire teams, analysts, and recipients</w:t>
            </w:r>
          </w:p>
        </w:tc>
      </w:tr>
    </w:tbl>
    <w:p>
      <w:pPr>
        <w:spacing w:before="80" w:after="0"/>
        <w:jc w:val="center"/>
      </w:pPr>
      <w:r>
        <w:drawing>
          <wp:inline xmlns:a="http://schemas.openxmlformats.org/drawingml/2006/main" xmlns:pic="http://schemas.openxmlformats.org/drawingml/2006/picture">
            <wp:extent cx="4205440" cy="3996000"/>
            <wp:docPr id="1" name="Picture 1" descr="RhoQuestionnaire questionnaire preview showing the same runner recipients use." title="RhoQuestionnaire questionnaire preview showing the same runner recipients use."/>
            <wp:cNvGraphicFramePr>
              <a:graphicFrameLocks noChangeAspect="1"/>
            </wp:cNvGraphicFramePr>
            <a:graphic>
              <a:graphicData uri="http://schemas.openxmlformats.org/drawingml/2006/picture">
                <pic:pic>
                  <pic:nvPicPr>
                    <pic:cNvPr id="0" name="questionnaire-preview.png"/>
                    <pic:cNvPicPr/>
                  </pic:nvPicPr>
                  <pic:blipFill>
                    <a:blip r:embed="rId11"/>
                    <a:stretch>
                      <a:fillRect/>
                    </a:stretch>
                  </pic:blipFill>
                  <pic:spPr>
                    <a:xfrm>
                      <a:off x="0" y="0"/>
                      <a:ext cx="4205440" cy="3996000"/>
                    </a:xfrm>
                    <a:prstGeom prst="rect"/>
                  </pic:spPr>
                </pic:pic>
              </a:graphicData>
            </a:graphic>
          </wp:inline>
        </w:drawing>
      </w:r>
    </w:p>
    <w:p>
      <w:pPr>
        <w:pStyle w:val="RQCaption"/>
      </w:pPr>
      <w:r>
        <w:rPr>
          <w:b w:val="0"/>
          <w:i/>
          <w:color w:val="66707C"/>
          <w:sz w:val="15"/>
          <w:lang w:val="en-US"/>
        </w:rPr>
        <w:t>Cover visual — Predict-style questionnaire composition from the private company pool.</w:t>
      </w:r>
    </w:p>
    <w:tbl>
      <w:tblPr>
        <w:tblW w:type="dxa" w:w="9900"/>
        <w:jc w:val="center"/>
        <w:tblLayout w:type="fixed"/>
        <w:tblLook w:firstColumn="1" w:firstRow="1" w:lastColumn="0" w:lastRow="0" w:noHBand="0" w:noVBand="1" w:val="04A0"/>
        <w:tblInd w:w="140" w:type="dxa"/>
      </w:tblPr>
      <w:tblGrid>
        <w:gridCol w:w="3300"/>
        <w:gridCol w:w="3300"/>
        <w:gridCol w:w="3300"/>
      </w:tblGrid>
      <w:tr>
        <w:tc>
          <w:tcPr>
            <w:tcW w:type="dxa" w:w="3300"/>
            <w:shd w:fill="F4F5F7"/>
            <w:tcMar>
              <w:top w:w="100" w:type="dxa"/>
              <w:start w:w="140" w:type="dxa"/>
              <w:bottom w:w="100" w:type="dxa"/>
              <w:end w:w="140" w:type="dxa"/>
            </w:tcMar>
          </w:tcPr>
          <w:p>
            <w:pPr>
              <w:spacing w:after="20"/>
            </w:pPr>
            <w:r>
              <w:rPr>
                <w:b/>
                <w:i w:val="0"/>
                <w:color w:val="FF7A1A"/>
                <w:sz w:val="14"/>
                <w:lang w:val="en-US"/>
              </w:rPr>
              <w:t>VERSION</w:t>
            </w:r>
          </w:p>
          <w:p>
            <w:pPr>
              <w:spacing w:after="0"/>
            </w:pPr>
            <w:r>
              <w:rPr>
                <w:b/>
                <w:i w:val="0"/>
                <w:color w:val="11161E"/>
                <w:sz w:val="18"/>
                <w:lang w:val="en-US"/>
              </w:rPr>
              <w:t>1.0</w:t>
            </w:r>
          </w:p>
        </w:tc>
        <w:tc>
          <w:tcPr>
            <w:tcW w:type="dxa" w:w="3300"/>
            <w:shd w:fill="F4F5F7"/>
            <w:tcMar>
              <w:top w:w="100" w:type="dxa"/>
              <w:start w:w="140" w:type="dxa"/>
              <w:bottom w:w="100" w:type="dxa"/>
              <w:end w:w="140" w:type="dxa"/>
            </w:tcMar>
          </w:tcPr>
          <w:p>
            <w:pPr>
              <w:spacing w:after="20"/>
            </w:pPr>
            <w:r>
              <w:rPr>
                <w:b/>
                <w:i w:val="0"/>
                <w:color w:val="FF7A1A"/>
                <w:sz w:val="14"/>
                <w:lang w:val="en-US"/>
              </w:rPr>
              <w:t>PUBLISHED</w:t>
            </w:r>
          </w:p>
          <w:p>
            <w:pPr>
              <w:spacing w:after="0"/>
            </w:pPr>
            <w:r>
              <w:rPr>
                <w:b/>
                <w:i w:val="0"/>
                <w:color w:val="11161E"/>
                <w:sz w:val="18"/>
                <w:lang w:val="en-US"/>
              </w:rPr>
              <w:t>27 JULY 2026</w:t>
            </w:r>
          </w:p>
        </w:tc>
        <w:tc>
          <w:tcPr>
            <w:tcW w:type="dxa" w:w="3300"/>
            <w:shd w:fill="F4F5F7"/>
            <w:tcMar>
              <w:top w:w="100" w:type="dxa"/>
              <w:start w:w="140" w:type="dxa"/>
              <w:bottom w:w="100" w:type="dxa"/>
              <w:end w:w="140" w:type="dxa"/>
            </w:tcMar>
          </w:tcPr>
          <w:p>
            <w:pPr>
              <w:spacing w:after="20"/>
            </w:pPr>
            <w:r>
              <w:rPr>
                <w:b/>
                <w:i w:val="0"/>
                <w:color w:val="FF7A1A"/>
                <w:sz w:val="14"/>
                <w:lang w:val="en-US"/>
              </w:rPr>
              <w:t>OWNER</w:t>
            </w:r>
          </w:p>
          <w:p>
            <w:pPr>
              <w:spacing w:after="0"/>
            </w:pPr>
            <w:r>
              <w:rPr>
                <w:b/>
                <w:i w:val="0"/>
                <w:color w:val="11161E"/>
                <w:sz w:val="18"/>
                <w:lang w:val="en-US"/>
              </w:rPr>
              <w:t>RHOMINDS</w:t>
            </w:r>
          </w:p>
        </w:tc>
      </w:tr>
    </w:tbl>
    <w:p>
      <w:r>
        <w:br w:type="page"/>
      </w:r>
    </w:p>
    <w:p>
      <w:pPr>
        <w:pStyle w:val="RQEyebrow"/>
      </w:pPr>
      <w:r>
        <w:rPr>
          <w:b/>
          <w:i w:val="0"/>
          <w:color w:val="FF7A1A"/>
          <w:lang w:val="en-US"/>
        </w:rPr>
        <w:t>HOW TO USE THIS DOCUMENT</w:t>
      </w:r>
    </w:p>
    <w:p>
      <w:pPr>
        <w:pStyle w:val="Heading1"/>
        <w:pBdr>
          <w:bottom w:val="single" w:sz="16" w:space="5" w:color="FF7A1A"/>
        </w:pBdr>
        <w:keepNext w:val="1"/>
      </w:pPr>
      <w:r>
        <w:rPr>
          <w:b/>
          <w:i w:val="0"/>
          <w:color w:val="11161E"/>
          <w:lang w:val="en-US"/>
        </w:rPr>
        <w:t>Guide map</w:t>
      </w:r>
    </w:p>
    <w:p>
      <w:pPr>
        <w:pStyle w:val="RQLead"/>
      </w:pPr>
      <w:r>
        <w:rPr>
          <w:b w:val="0"/>
          <w:i w:val="0"/>
          <w:lang w:val="en-US"/>
        </w:rPr>
        <w:t>This guide follows the operational path from setup to analysis. Read it in order for a first launch, or jump to the task you need.</w:t>
      </w:r>
    </w:p>
    <w:tbl>
      <w:tblPr>
        <w:tblW w:type="dxa" w:w="9892"/>
        <w:jc w:val="center"/>
        <w:tblLayout w:type="fixed"/>
        <w:tblLook w:firstColumn="1" w:firstRow="1" w:lastColumn="0" w:lastRow="0" w:noHBand="0" w:noVBand="1" w:val="04A0"/>
        <w:tblInd w:w="120" w:type="dxa"/>
      </w:tblPr>
      <w:tblGrid>
        <w:gridCol w:w="680"/>
        <w:gridCol w:w="3061"/>
        <w:gridCol w:w="6151"/>
      </w:tblGrid>
      <w:tr>
        <w:trPr>
          <w:tblHeader w:val="true"/>
          <w:cantSplit w:val="true"/>
        </w:trPr>
        <w:tc>
          <w:tcPr>
            <w:tcW w:type="dxa" w:w="680"/>
            <w:shd w:fill="11161E"/>
            <w:tcMar>
              <w:top w:w="110" w:type="dxa"/>
              <w:start w:w="120" w:type="dxa"/>
              <w:bottom w:w="110" w:type="dxa"/>
              <w:end w:w="120" w:type="dxa"/>
            </w:tcMar>
            <w:vAlign w:val="center"/>
          </w:tcPr>
          <w:p>
            <w:pPr>
              <w:spacing w:after="0"/>
            </w:pPr>
            <w:r>
              <w:rPr>
                <w:b/>
                <w:color w:val="FFFFFF"/>
                <w:sz w:val="16"/>
              </w:rPr>
              <w:t>#</w:t>
            </w:r>
          </w:p>
        </w:tc>
        <w:tc>
          <w:tcPr>
            <w:tcW w:type="dxa" w:w="3061"/>
            <w:shd w:fill="11161E"/>
            <w:tcMar>
              <w:top w:w="110" w:type="dxa"/>
              <w:start w:w="120" w:type="dxa"/>
              <w:bottom w:w="110" w:type="dxa"/>
              <w:end w:w="120" w:type="dxa"/>
            </w:tcMar>
            <w:vAlign w:val="center"/>
          </w:tcPr>
          <w:p>
            <w:pPr>
              <w:spacing w:after="0"/>
            </w:pPr>
            <w:r>
              <w:rPr>
                <w:b/>
                <w:color w:val="FFFFFF"/>
                <w:sz w:val="16"/>
              </w:rPr>
              <w:t>Section</w:t>
            </w:r>
          </w:p>
        </w:tc>
        <w:tc>
          <w:tcPr>
            <w:tcW w:type="dxa" w:w="6151"/>
            <w:shd w:fill="11161E"/>
            <w:tcMar>
              <w:top w:w="110" w:type="dxa"/>
              <w:start w:w="120" w:type="dxa"/>
              <w:bottom w:w="110" w:type="dxa"/>
              <w:end w:w="120" w:type="dxa"/>
            </w:tcMar>
            <w:vAlign w:val="center"/>
          </w:tcPr>
          <w:p>
            <w:pPr>
              <w:spacing w:after="0"/>
            </w:pPr>
            <w:r>
              <w:rPr>
                <w:b/>
                <w:color w:val="FFFFFF"/>
                <w:sz w:val="16"/>
              </w:rPr>
              <w:t>Use it when</w:t>
            </w:r>
          </w:p>
        </w:tc>
      </w:tr>
      <w:tr>
        <w:trPr>
          <w:cantSplit w:val="true"/>
        </w:trPr>
        <w:tc>
          <w:tcPr>
            <w:tcW w:type="dxa" w:w="680"/>
            <w:tcMar>
              <w:top w:w="110" w:type="dxa"/>
              <w:start w:w="120" w:type="dxa"/>
              <w:bottom w:w="110" w:type="dxa"/>
              <w:end w:w="120" w:type="dxa"/>
            </w:tcMar>
            <w:vAlign w:val="top"/>
          </w:tcPr>
          <w:p>
            <w:pPr>
              <w:spacing w:after="0"/>
            </w:pPr>
            <w:r>
              <w:rPr>
                <w:color w:val="252B33"/>
                <w:sz w:val="16"/>
              </w:rPr>
              <w:t>01</w:t>
            </w:r>
          </w:p>
        </w:tc>
        <w:tc>
          <w:tcPr>
            <w:tcW w:type="dxa" w:w="3061"/>
            <w:tcMar>
              <w:top w:w="110" w:type="dxa"/>
              <w:start w:w="120" w:type="dxa"/>
              <w:bottom w:w="110" w:type="dxa"/>
              <w:end w:w="120" w:type="dxa"/>
            </w:tcMar>
            <w:vAlign w:val="top"/>
          </w:tcPr>
          <w:p>
            <w:pPr>
              <w:spacing w:after="0"/>
            </w:pPr>
            <w:r>
              <w:rPr>
                <w:color w:val="252B33"/>
                <w:sz w:val="16"/>
              </w:rPr>
              <w:t>Understand the service</w:t>
            </w:r>
          </w:p>
        </w:tc>
        <w:tc>
          <w:tcPr>
            <w:tcW w:type="dxa" w:w="6151"/>
            <w:tcMar>
              <w:top w:w="110" w:type="dxa"/>
              <w:start w:w="120" w:type="dxa"/>
              <w:bottom w:w="110" w:type="dxa"/>
              <w:end w:w="120" w:type="dxa"/>
            </w:tcMar>
            <w:vAlign w:val="top"/>
          </w:tcPr>
          <w:p>
            <w:pPr>
              <w:spacing w:after="0"/>
            </w:pPr>
            <w:r>
              <w:rPr>
                <w:color w:val="252B33"/>
                <w:sz w:val="16"/>
              </w:rPr>
              <w:t>You need the two-front model, roles, or terminology.</w:t>
            </w:r>
          </w:p>
        </w:tc>
      </w:tr>
      <w:tr>
        <w:trPr>
          <w:cantSplit w:val="true"/>
        </w:trPr>
        <w:tc>
          <w:tcPr>
            <w:tcW w:type="dxa" w:w="680"/>
            <w:tcMar>
              <w:top w:w="110" w:type="dxa"/>
              <w:start w:w="120" w:type="dxa"/>
              <w:bottom w:w="110" w:type="dxa"/>
              <w:end w:w="120" w:type="dxa"/>
            </w:tcMar>
            <w:shd w:fill="F4F5F7"/>
            <w:vAlign w:val="top"/>
          </w:tcPr>
          <w:p>
            <w:pPr>
              <w:spacing w:after="0"/>
            </w:pPr>
            <w:r>
              <w:rPr>
                <w:color w:val="252B33"/>
                <w:sz w:val="16"/>
              </w:rPr>
              <w:t>02</w:t>
            </w:r>
          </w:p>
        </w:tc>
        <w:tc>
          <w:tcPr>
            <w:tcW w:type="dxa" w:w="3061"/>
            <w:tcMar>
              <w:top w:w="110" w:type="dxa"/>
              <w:start w:w="120" w:type="dxa"/>
              <w:bottom w:w="110" w:type="dxa"/>
              <w:end w:w="120" w:type="dxa"/>
            </w:tcMar>
            <w:shd w:fill="F4F5F7"/>
            <w:vAlign w:val="top"/>
          </w:tcPr>
          <w:p>
            <w:pPr>
              <w:spacing w:after="0"/>
            </w:pPr>
            <w:r>
              <w:rPr>
                <w:color w:val="252B33"/>
                <w:sz w:val="16"/>
              </w:rPr>
              <w:t>Configure a company</w:t>
            </w:r>
          </w:p>
        </w:tc>
        <w:tc>
          <w:tcPr>
            <w:tcW w:type="dxa" w:w="6151"/>
            <w:tcMar>
              <w:top w:w="110" w:type="dxa"/>
              <w:start w:w="120" w:type="dxa"/>
              <w:bottom w:w="110" w:type="dxa"/>
              <w:end w:w="120" w:type="dxa"/>
            </w:tcMar>
            <w:shd w:fill="F4F5F7"/>
            <w:vAlign w:val="top"/>
          </w:tcPr>
          <w:p>
            <w:pPr>
              <w:spacing w:after="0"/>
            </w:pPr>
            <w:r>
              <w:rPr>
                <w:color w:val="252B33"/>
                <w:sz w:val="16"/>
              </w:rPr>
              <w:t>You are setting access, identity, branding, email, or billing.</w:t>
            </w:r>
          </w:p>
        </w:tc>
      </w:tr>
      <w:tr>
        <w:trPr>
          <w:cantSplit w:val="true"/>
        </w:trPr>
        <w:tc>
          <w:tcPr>
            <w:tcW w:type="dxa" w:w="680"/>
            <w:tcMar>
              <w:top w:w="110" w:type="dxa"/>
              <w:start w:w="120" w:type="dxa"/>
              <w:bottom w:w="110" w:type="dxa"/>
              <w:end w:w="120" w:type="dxa"/>
            </w:tcMar>
            <w:vAlign w:val="top"/>
          </w:tcPr>
          <w:p>
            <w:pPr>
              <w:spacing w:after="0"/>
            </w:pPr>
            <w:r>
              <w:rPr>
                <w:color w:val="252B33"/>
                <w:sz w:val="16"/>
              </w:rPr>
              <w:t>03</w:t>
            </w:r>
          </w:p>
        </w:tc>
        <w:tc>
          <w:tcPr>
            <w:tcW w:type="dxa" w:w="3061"/>
            <w:tcMar>
              <w:top w:w="110" w:type="dxa"/>
              <w:start w:w="120" w:type="dxa"/>
              <w:bottom w:w="110" w:type="dxa"/>
              <w:end w:w="120" w:type="dxa"/>
            </w:tcMar>
            <w:vAlign w:val="top"/>
          </w:tcPr>
          <w:p>
            <w:pPr>
              <w:spacing w:after="0"/>
            </w:pPr>
            <w:r>
              <w:rPr>
                <w:color w:val="252B33"/>
                <w:sz w:val="16"/>
              </w:rPr>
              <w:t>Build questionnaires</w:t>
            </w:r>
          </w:p>
        </w:tc>
        <w:tc>
          <w:tcPr>
            <w:tcW w:type="dxa" w:w="6151"/>
            <w:tcMar>
              <w:top w:w="110" w:type="dxa"/>
              <w:start w:w="120" w:type="dxa"/>
              <w:bottom w:w="110" w:type="dxa"/>
              <w:end w:w="120" w:type="dxa"/>
            </w:tcMar>
            <w:vAlign w:val="top"/>
          </w:tcPr>
          <w:p>
            <w:pPr>
              <w:spacing w:after="0"/>
            </w:pPr>
            <w:r>
              <w:rPr>
                <w:color w:val="252B33"/>
                <w:sz w:val="16"/>
              </w:rPr>
              <w:t>You are creating private pooled questions or composing one of several questionnaires.</w:t>
            </w:r>
          </w:p>
        </w:tc>
      </w:tr>
      <w:tr>
        <w:trPr>
          <w:cantSplit w:val="true"/>
        </w:trPr>
        <w:tc>
          <w:tcPr>
            <w:tcW w:type="dxa" w:w="680"/>
            <w:tcMar>
              <w:top w:w="110" w:type="dxa"/>
              <w:start w:w="120" w:type="dxa"/>
              <w:bottom w:w="110" w:type="dxa"/>
              <w:end w:w="120" w:type="dxa"/>
            </w:tcMar>
            <w:shd w:fill="F4F5F7"/>
            <w:vAlign w:val="top"/>
          </w:tcPr>
          <w:p>
            <w:pPr>
              <w:spacing w:after="0"/>
            </w:pPr>
            <w:r>
              <w:rPr>
                <w:color w:val="252B33"/>
                <w:sz w:val="16"/>
              </w:rPr>
              <w:t>04</w:t>
            </w:r>
          </w:p>
        </w:tc>
        <w:tc>
          <w:tcPr>
            <w:tcW w:type="dxa" w:w="3061"/>
            <w:tcMar>
              <w:top w:w="110" w:type="dxa"/>
              <w:start w:w="120" w:type="dxa"/>
              <w:bottom w:w="110" w:type="dxa"/>
              <w:end w:w="120" w:type="dxa"/>
            </w:tcMar>
            <w:shd w:fill="F4F5F7"/>
            <w:vAlign w:val="top"/>
          </w:tcPr>
          <w:p>
            <w:pPr>
              <w:spacing w:after="0"/>
            </w:pPr>
            <w:r>
              <w:rPr>
                <w:color w:val="252B33"/>
                <w:sz w:val="16"/>
              </w:rPr>
              <w:t>Prepare recipients</w:t>
            </w:r>
          </w:p>
        </w:tc>
        <w:tc>
          <w:tcPr>
            <w:tcW w:type="dxa" w:w="6151"/>
            <w:tcMar>
              <w:top w:w="110" w:type="dxa"/>
              <w:start w:w="120" w:type="dxa"/>
              <w:bottom w:w="110" w:type="dxa"/>
              <w:end w:w="120" w:type="dxa"/>
            </w:tcMar>
            <w:shd w:fill="F4F5F7"/>
            <w:vAlign w:val="top"/>
          </w:tcPr>
          <w:p>
            <w:pPr>
              <w:spacing w:after="0"/>
            </w:pPr>
            <w:r>
              <w:rPr>
                <w:color w:val="252B33"/>
                <w:sz w:val="16"/>
              </w:rPr>
              <w:t>You are importing people or organizing audiences.</w:t>
            </w:r>
          </w:p>
        </w:tc>
      </w:tr>
      <w:tr>
        <w:trPr>
          <w:cantSplit w:val="true"/>
        </w:trPr>
        <w:tc>
          <w:tcPr>
            <w:tcW w:type="dxa" w:w="680"/>
            <w:tcMar>
              <w:top w:w="110" w:type="dxa"/>
              <w:start w:w="120" w:type="dxa"/>
              <w:bottom w:w="110" w:type="dxa"/>
              <w:end w:w="120" w:type="dxa"/>
            </w:tcMar>
            <w:vAlign w:val="top"/>
          </w:tcPr>
          <w:p>
            <w:pPr>
              <w:spacing w:after="0"/>
            </w:pPr>
            <w:r>
              <w:rPr>
                <w:color w:val="252B33"/>
                <w:sz w:val="16"/>
              </w:rPr>
              <w:t>05</w:t>
            </w:r>
          </w:p>
        </w:tc>
        <w:tc>
          <w:tcPr>
            <w:tcW w:type="dxa" w:w="3061"/>
            <w:tcMar>
              <w:top w:w="110" w:type="dxa"/>
              <w:start w:w="120" w:type="dxa"/>
              <w:bottom w:w="110" w:type="dxa"/>
              <w:end w:w="120" w:type="dxa"/>
            </w:tcMar>
            <w:vAlign w:val="top"/>
          </w:tcPr>
          <w:p>
            <w:pPr>
              <w:spacing w:after="0"/>
            </w:pPr>
            <w:r>
              <w:rPr>
                <w:color w:val="252B33"/>
                <w:sz w:val="16"/>
              </w:rPr>
              <w:t>Create a sending</w:t>
            </w:r>
          </w:p>
        </w:tc>
        <w:tc>
          <w:tcPr>
            <w:tcW w:type="dxa" w:w="6151"/>
            <w:tcMar>
              <w:top w:w="110" w:type="dxa"/>
              <w:start w:w="120" w:type="dxa"/>
              <w:bottom w:w="110" w:type="dxa"/>
              <w:end w:w="120" w:type="dxa"/>
            </w:tcMar>
            <w:vAlign w:val="top"/>
          </w:tcPr>
          <w:p>
            <w:pPr>
              <w:spacing w:after="0"/>
            </w:pPr>
            <w:r>
              <w:rPr>
                <w:color w:val="252B33"/>
                <w:sz w:val="16"/>
              </w:rPr>
              <w:t>You are scheduling or repeating a questionnaire campaign.</w:t>
            </w:r>
          </w:p>
        </w:tc>
      </w:tr>
      <w:tr>
        <w:trPr>
          <w:cantSplit w:val="true"/>
        </w:trPr>
        <w:tc>
          <w:tcPr>
            <w:tcW w:type="dxa" w:w="680"/>
            <w:tcMar>
              <w:top w:w="110" w:type="dxa"/>
              <w:start w:w="120" w:type="dxa"/>
              <w:bottom w:w="110" w:type="dxa"/>
              <w:end w:w="120" w:type="dxa"/>
            </w:tcMar>
            <w:shd w:fill="F4F5F7"/>
            <w:vAlign w:val="top"/>
          </w:tcPr>
          <w:p>
            <w:pPr>
              <w:spacing w:after="0"/>
            </w:pPr>
            <w:r>
              <w:rPr>
                <w:color w:val="252B33"/>
                <w:sz w:val="16"/>
              </w:rPr>
              <w:t>06</w:t>
            </w:r>
          </w:p>
        </w:tc>
        <w:tc>
          <w:tcPr>
            <w:tcW w:type="dxa" w:w="3061"/>
            <w:tcMar>
              <w:top w:w="110" w:type="dxa"/>
              <w:start w:w="120" w:type="dxa"/>
              <w:bottom w:w="110" w:type="dxa"/>
              <w:end w:w="120" w:type="dxa"/>
            </w:tcMar>
            <w:shd w:fill="F4F5F7"/>
            <w:vAlign w:val="top"/>
          </w:tcPr>
          <w:p>
            <w:pPr>
              <w:spacing w:after="0"/>
            </w:pPr>
            <w:r>
              <w:rPr>
                <w:color w:val="252B33"/>
                <w:sz w:val="16"/>
              </w:rPr>
              <w:t>Complete a questionnaire</w:t>
            </w:r>
          </w:p>
        </w:tc>
        <w:tc>
          <w:tcPr>
            <w:tcW w:type="dxa" w:w="6151"/>
            <w:tcMar>
              <w:top w:w="110" w:type="dxa"/>
              <w:start w:w="120" w:type="dxa"/>
              <w:bottom w:w="110" w:type="dxa"/>
              <w:end w:w="120" w:type="dxa"/>
            </w:tcMar>
            <w:shd w:fill="F4F5F7"/>
            <w:vAlign w:val="top"/>
          </w:tcPr>
          <w:p>
            <w:pPr>
              <w:spacing w:after="0"/>
            </w:pPr>
            <w:r>
              <w:rPr>
                <w:color w:val="252B33"/>
                <w:sz w:val="16"/>
              </w:rPr>
              <w:t>You are a recipient opening, saving, reviewing, or submitting.</w:t>
            </w:r>
          </w:p>
        </w:tc>
      </w:tr>
      <w:tr>
        <w:trPr>
          <w:cantSplit w:val="true"/>
        </w:trPr>
        <w:tc>
          <w:tcPr>
            <w:tcW w:type="dxa" w:w="680"/>
            <w:tcMar>
              <w:top w:w="110" w:type="dxa"/>
              <w:start w:w="120" w:type="dxa"/>
              <w:bottom w:w="110" w:type="dxa"/>
              <w:end w:w="120" w:type="dxa"/>
            </w:tcMar>
            <w:vAlign w:val="top"/>
          </w:tcPr>
          <w:p>
            <w:pPr>
              <w:spacing w:after="0"/>
            </w:pPr>
            <w:r>
              <w:rPr>
                <w:color w:val="252B33"/>
                <w:sz w:val="16"/>
              </w:rPr>
              <w:t>07</w:t>
            </w:r>
          </w:p>
        </w:tc>
        <w:tc>
          <w:tcPr>
            <w:tcW w:type="dxa" w:w="3061"/>
            <w:tcMar>
              <w:top w:w="110" w:type="dxa"/>
              <w:start w:w="120" w:type="dxa"/>
              <w:bottom w:w="110" w:type="dxa"/>
              <w:end w:w="120" w:type="dxa"/>
            </w:tcMar>
            <w:vAlign w:val="top"/>
          </w:tcPr>
          <w:p>
            <w:pPr>
              <w:spacing w:after="0"/>
            </w:pPr>
            <w:r>
              <w:rPr>
                <w:color w:val="252B33"/>
                <w:sz w:val="16"/>
              </w:rPr>
              <w:t>Read analytics</w:t>
            </w:r>
          </w:p>
        </w:tc>
        <w:tc>
          <w:tcPr>
            <w:tcW w:type="dxa" w:w="6151"/>
            <w:tcMar>
              <w:top w:w="110" w:type="dxa"/>
              <w:start w:w="120" w:type="dxa"/>
              <w:bottom w:w="110" w:type="dxa"/>
              <w:end w:w="120" w:type="dxa"/>
            </w:tcMar>
            <w:vAlign w:val="top"/>
          </w:tcPr>
          <w:p>
            <w:pPr>
              <w:spacing w:after="0"/>
            </w:pPr>
            <w:r>
              <w:rPr>
                <w:color w:val="252B33"/>
                <w:sz w:val="16"/>
              </w:rPr>
              <w:t>You need fair denominators, exports, or response reopening.</w:t>
            </w:r>
          </w:p>
        </w:tc>
      </w:tr>
      <w:tr>
        <w:trPr>
          <w:cantSplit w:val="true"/>
        </w:trPr>
        <w:tc>
          <w:tcPr>
            <w:tcW w:type="dxa" w:w="680"/>
            <w:tcMar>
              <w:top w:w="110" w:type="dxa"/>
              <w:start w:w="120" w:type="dxa"/>
              <w:bottom w:w="110" w:type="dxa"/>
              <w:end w:w="120" w:type="dxa"/>
            </w:tcMar>
            <w:shd w:fill="F4F5F7"/>
            <w:vAlign w:val="top"/>
          </w:tcPr>
          <w:p>
            <w:pPr>
              <w:spacing w:after="0"/>
            </w:pPr>
            <w:r>
              <w:rPr>
                <w:color w:val="252B33"/>
                <w:sz w:val="16"/>
              </w:rPr>
              <w:t>08</w:t>
            </w:r>
          </w:p>
        </w:tc>
        <w:tc>
          <w:tcPr>
            <w:tcW w:type="dxa" w:w="3061"/>
            <w:tcMar>
              <w:top w:w="110" w:type="dxa"/>
              <w:start w:w="120" w:type="dxa"/>
              <w:bottom w:w="110" w:type="dxa"/>
              <w:end w:w="120" w:type="dxa"/>
            </w:tcMar>
            <w:shd w:fill="F4F5F7"/>
            <w:vAlign w:val="top"/>
          </w:tcPr>
          <w:p>
            <w:pPr>
              <w:spacing w:after="0"/>
            </w:pPr>
            <w:r>
              <w:rPr>
                <w:color w:val="252B33"/>
                <w:sz w:val="16"/>
              </w:rPr>
              <w:t>Operate safely</w:t>
            </w:r>
          </w:p>
        </w:tc>
        <w:tc>
          <w:tcPr>
            <w:tcW w:type="dxa" w:w="6151"/>
            <w:tcMar>
              <w:top w:w="110" w:type="dxa"/>
              <w:start w:w="120" w:type="dxa"/>
              <w:bottom w:w="110" w:type="dxa"/>
              <w:end w:w="120" w:type="dxa"/>
            </w:tcMar>
            <w:shd w:fill="F4F5F7"/>
            <w:vAlign w:val="top"/>
          </w:tcPr>
          <w:p>
            <w:pPr>
              <w:spacing w:after="0"/>
            </w:pPr>
            <w:r>
              <w:rPr>
                <w:color w:val="252B33"/>
                <w:sz w:val="16"/>
              </w:rPr>
              <w:t>You need reminders, status controls, roles, or troubleshooting.</w:t>
            </w:r>
          </w:p>
        </w:tc>
      </w:tr>
    </w:tbl>
    <w:p>
      <w:pPr>
        <w:spacing w:after="20"/>
      </w:pPr>
    </w:p>
    <w:tbl>
      <w:tblPr>
        <w:tblW w:type="dxa" w:w="9900"/>
        <w:jc w:val="center"/>
        <w:tblLayout w:type="fixed"/>
        <w:tblLook w:firstColumn="1" w:firstRow="1" w:lastColumn="0" w:lastRow="0" w:noHBand="0" w:noVBand="1" w:val="04A0"/>
        <w:tblInd w:w="180" w:type="dxa"/>
      </w:tblPr>
      <w:tblGrid>
        <w:gridCol w:w="9900"/>
      </w:tblGrid>
      <w:tr>
        <w:trPr>
          <w:cantSplit w:val="true"/>
        </w:trPr>
        <w:tc>
          <w:tcPr>
            <w:tcW w:type="dxa" w:w="9900"/>
            <w:shd w:fill="E9F8F5"/>
            <w:tcMar>
              <w:top w:w="140" w:type="dxa"/>
              <w:start w:w="180" w:type="dxa"/>
              <w:bottom w:w="140" w:type="dxa"/>
              <w:end w:w="180" w:type="dxa"/>
            </w:tcMar>
          </w:tcPr>
          <w:p>
            <w:pPr>
              <w:spacing w:after="40"/>
            </w:pPr>
            <w:r>
              <w:rPr>
                <w:b/>
                <w:i w:val="0"/>
                <w:color w:val="5B2E91"/>
                <w:lang w:val="en-US"/>
              </w:rPr>
              <w:t xml:space="preserve">Scope note  </w:t>
            </w:r>
            <w:r>
              <w:rPr>
                <w:b w:val="0"/>
                <w:i w:val="0"/>
                <w:lang w:val="en-US"/>
              </w:rPr>
              <w:t>The screenshots use a synthetic Northstar tenant and example.com addresses. They demonstrate the real local application without sending email or charging Stripe.</w:t>
            </w:r>
          </w:p>
        </w:tc>
      </w:tr>
    </w:tbl>
    <w:p>
      <w:pPr>
        <w:spacing w:after="0"/>
      </w:pPr>
    </w:p>
    <w:p>
      <w:r>
        <w:br w:type="page"/>
      </w:r>
    </w:p>
    <w:p>
      <w:pPr>
        <w:pStyle w:val="RQEyebrow"/>
      </w:pPr>
      <w:r>
        <w:rPr>
          <w:b/>
          <w:i w:val="0"/>
          <w:color w:val="FF7A1A"/>
          <w:lang w:val="en-US"/>
        </w:rPr>
        <w:t>01 · ORIENTATION</w:t>
      </w:r>
    </w:p>
    <w:p>
      <w:pPr>
        <w:pStyle w:val="Heading1"/>
        <w:pBdr>
          <w:bottom w:val="single" w:sz="16" w:space="5" w:color="FF7A1A"/>
        </w:pBdr>
        <w:keepNext w:val="1"/>
      </w:pPr>
      <w:r>
        <w:rPr>
          <w:b/>
          <w:i w:val="0"/>
          <w:color w:val="11161E"/>
          <w:lang w:val="en-US"/>
        </w:rPr>
        <w:t>Understand the service</w:t>
      </w:r>
    </w:p>
    <w:p>
      <w:pPr>
        <w:pStyle w:val="RQLead"/>
      </w:pPr>
      <w:r>
        <w:rPr>
          <w:b w:val="0"/>
          <w:i w:val="0"/>
          <w:lang w:val="en-US"/>
        </w:rPr>
        <w:t>RhoQuestionnaire is a multi-tenant service: every company gets its own branded workspace, users, recipients, questionnaires, sendings, settings, subscription, and results. A questionnaire can be reused across many sendings, and one recipient can receive many questionnaires.</w:t>
      </w:r>
    </w:p>
    <w:p>
      <w:pPr>
        <w:pStyle w:val="Heading2"/>
        <w:keepNext w:val="1"/>
      </w:pPr>
      <w:r>
        <w:rPr>
          <w:b/>
          <w:i w:val="0"/>
          <w:color w:val="5B2E91"/>
          <w:lang w:val="en-US"/>
        </w:rPr>
        <w:t>Two focused fronts</w:t>
      </w:r>
    </w:p>
    <w:tbl>
      <w:tblPr>
        <w:tblW w:type="dxa" w:w="9891"/>
        <w:jc w:val="center"/>
        <w:tblLayout w:type="fixed"/>
        <w:tblLook w:firstColumn="1" w:firstRow="1" w:lastColumn="0" w:lastRow="0" w:noHBand="0" w:noVBand="1" w:val="04A0"/>
        <w:tblInd w:w="120" w:type="dxa"/>
      </w:tblPr>
      <w:tblGrid>
        <w:gridCol w:w="1757"/>
        <w:gridCol w:w="3004"/>
        <w:gridCol w:w="5130"/>
      </w:tblGrid>
      <w:tr>
        <w:trPr>
          <w:tblHeader w:val="true"/>
          <w:cantSplit w:val="true"/>
        </w:trPr>
        <w:tc>
          <w:tcPr>
            <w:tcW w:type="dxa" w:w="1757"/>
            <w:shd w:fill="11161E"/>
            <w:tcMar>
              <w:top w:w="110" w:type="dxa"/>
              <w:start w:w="120" w:type="dxa"/>
              <w:bottom w:w="110" w:type="dxa"/>
              <w:end w:w="120" w:type="dxa"/>
            </w:tcMar>
            <w:vAlign w:val="center"/>
          </w:tcPr>
          <w:p>
            <w:pPr>
              <w:spacing w:after="0"/>
            </w:pPr>
            <w:r>
              <w:rPr>
                <w:b/>
                <w:color w:val="FFFFFF"/>
                <w:sz w:val="16"/>
              </w:rPr>
              <w:t>Front</w:t>
            </w:r>
          </w:p>
        </w:tc>
        <w:tc>
          <w:tcPr>
            <w:tcW w:type="dxa" w:w="3004"/>
            <w:shd w:fill="11161E"/>
            <w:tcMar>
              <w:top w:w="110" w:type="dxa"/>
              <w:start w:w="120" w:type="dxa"/>
              <w:bottom w:w="110" w:type="dxa"/>
              <w:end w:w="120" w:type="dxa"/>
            </w:tcMar>
            <w:vAlign w:val="center"/>
          </w:tcPr>
          <w:p>
            <w:pPr>
              <w:spacing w:after="0"/>
            </w:pPr>
            <w:r>
              <w:rPr>
                <w:b/>
                <w:color w:val="FFFFFF"/>
                <w:sz w:val="16"/>
              </w:rPr>
              <w:t>Who uses it</w:t>
            </w:r>
          </w:p>
        </w:tc>
        <w:tc>
          <w:tcPr>
            <w:tcW w:type="dxa" w:w="5130"/>
            <w:shd w:fill="11161E"/>
            <w:tcMar>
              <w:top w:w="110" w:type="dxa"/>
              <w:start w:w="120" w:type="dxa"/>
              <w:bottom w:w="110" w:type="dxa"/>
              <w:end w:w="120" w:type="dxa"/>
            </w:tcMar>
            <w:vAlign w:val="center"/>
          </w:tcPr>
          <w:p>
            <w:pPr>
              <w:spacing w:after="0"/>
            </w:pPr>
            <w:r>
              <w:rPr>
                <w:b/>
                <w:color w:val="FFFFFF"/>
                <w:sz w:val="16"/>
              </w:rPr>
              <w:t>What it controls</w:t>
            </w:r>
          </w:p>
        </w:tc>
      </w:tr>
      <w:tr>
        <w:trPr>
          <w:cantSplit w:val="true"/>
        </w:trPr>
        <w:tc>
          <w:tcPr>
            <w:tcW w:type="dxa" w:w="1757"/>
            <w:tcMar>
              <w:top w:w="110" w:type="dxa"/>
              <w:start w:w="120" w:type="dxa"/>
              <w:bottom w:w="110" w:type="dxa"/>
              <w:end w:w="120" w:type="dxa"/>
            </w:tcMar>
            <w:vAlign w:val="top"/>
          </w:tcPr>
          <w:p>
            <w:pPr>
              <w:spacing w:after="0"/>
            </w:pPr>
            <w:r>
              <w:rPr>
                <w:color w:val="252B33"/>
                <w:sz w:val="16"/>
              </w:rPr>
              <w:t>Administration</w:t>
            </w:r>
          </w:p>
        </w:tc>
        <w:tc>
          <w:tcPr>
            <w:tcW w:type="dxa" w:w="3004"/>
            <w:tcMar>
              <w:top w:w="110" w:type="dxa"/>
              <w:start w:w="120" w:type="dxa"/>
              <w:bottom w:w="110" w:type="dxa"/>
              <w:end w:w="120" w:type="dxa"/>
            </w:tcMar>
            <w:vAlign w:val="top"/>
          </w:tcPr>
          <w:p>
            <w:pPr>
              <w:spacing w:after="0"/>
            </w:pPr>
            <w:r>
              <w:rPr>
                <w:color w:val="252B33"/>
                <w:sz w:val="16"/>
              </w:rPr>
              <w:t>Tenant owners, questionnaire managers, recipient managers, analysts, viewers, and RhoMinds super admins</w:t>
            </w:r>
          </w:p>
        </w:tc>
        <w:tc>
          <w:tcPr>
            <w:tcW w:type="dxa" w:w="5130"/>
            <w:tcMar>
              <w:top w:w="110" w:type="dxa"/>
              <w:start w:w="120" w:type="dxa"/>
              <w:bottom w:w="110" w:type="dxa"/>
              <w:end w:w="120" w:type="dxa"/>
            </w:tcMar>
            <w:vAlign w:val="top"/>
          </w:tcPr>
          <w:p>
            <w:pPr>
              <w:spacing w:after="0"/>
            </w:pPr>
            <w:r>
              <w:rPr>
                <w:color w:val="252B33"/>
                <w:sz w:val="16"/>
              </w:rPr>
              <w:t>Private question pool, multiple questionnaires, recipients, audiences, sendings, analytics, branding, email, billing, and team roles</w:t>
            </w:r>
          </w:p>
        </w:tc>
      </w:tr>
      <w:tr>
        <w:trPr>
          <w:cantSplit w:val="true"/>
        </w:trPr>
        <w:tc>
          <w:tcPr>
            <w:tcW w:type="dxa" w:w="1757"/>
            <w:tcMar>
              <w:top w:w="110" w:type="dxa"/>
              <w:start w:w="120" w:type="dxa"/>
              <w:bottom w:w="110" w:type="dxa"/>
              <w:end w:w="120" w:type="dxa"/>
            </w:tcMar>
            <w:shd w:fill="F4F5F7"/>
            <w:vAlign w:val="top"/>
          </w:tcPr>
          <w:p>
            <w:pPr>
              <w:spacing w:after="0"/>
            </w:pPr>
            <w:r>
              <w:rPr>
                <w:color w:val="252B33"/>
                <w:sz w:val="16"/>
              </w:rPr>
              <w:t>Recipient</w:t>
            </w:r>
          </w:p>
        </w:tc>
        <w:tc>
          <w:tcPr>
            <w:tcW w:type="dxa" w:w="3004"/>
            <w:tcMar>
              <w:top w:w="110" w:type="dxa"/>
              <w:start w:w="120" w:type="dxa"/>
              <w:bottom w:w="110" w:type="dxa"/>
              <w:end w:w="120" w:type="dxa"/>
            </w:tcMar>
            <w:shd w:fill="F4F5F7"/>
            <w:vAlign w:val="top"/>
          </w:tcPr>
          <w:p>
            <w:pPr>
              <w:spacing w:after="0"/>
            </w:pPr>
            <w:r>
              <w:rPr>
                <w:color w:val="252B33"/>
                <w:sz w:val="16"/>
              </w:rPr>
              <w:t>Invited customers or account holders</w:t>
            </w:r>
          </w:p>
        </w:tc>
        <w:tc>
          <w:tcPr>
            <w:tcW w:type="dxa" w:w="5130"/>
            <w:tcMar>
              <w:top w:w="110" w:type="dxa"/>
              <w:start w:w="120" w:type="dxa"/>
              <w:bottom w:w="110" w:type="dxa"/>
              <w:end w:w="120" w:type="dxa"/>
            </w:tcMar>
            <w:shd w:fill="F4F5F7"/>
            <w:vAlign w:val="top"/>
          </w:tcPr>
          <w:p>
            <w:pPr>
              <w:spacing w:after="0"/>
            </w:pPr>
            <w:r>
              <w:rPr>
                <w:color w:val="252B33"/>
                <w:sz w:val="16"/>
              </w:rPr>
              <w:t>Opening assigned questionnaires, autosaving progress, reviewing answers, and submitting</w:t>
            </w:r>
          </w:p>
        </w:tc>
      </w:tr>
    </w:tbl>
    <w:p>
      <w:pPr>
        <w:spacing w:after="20"/>
      </w:pPr>
    </w:p>
    <w:p>
      <w:pPr>
        <w:pStyle w:val="Heading2"/>
        <w:keepNext w:val="1"/>
      </w:pPr>
      <w:r>
        <w:rPr>
          <w:b/>
          <w:i w:val="0"/>
          <w:color w:val="5B2E91"/>
          <w:lang w:val="en-US"/>
        </w:rPr>
        <w:t>Role guide</w:t>
      </w:r>
    </w:p>
    <w:tbl>
      <w:tblPr>
        <w:tblW w:type="dxa" w:w="9892"/>
        <w:jc w:val="center"/>
        <w:tblLayout w:type="fixed"/>
        <w:tblLook w:firstColumn="1" w:firstRow="1" w:lastColumn="0" w:lastRow="0" w:noHBand="0" w:noVBand="1" w:val="04A0"/>
        <w:tblInd w:w="120" w:type="dxa"/>
      </w:tblPr>
      <w:tblGrid>
        <w:gridCol w:w="2267"/>
        <w:gridCol w:w="7625"/>
      </w:tblGrid>
      <w:tr>
        <w:trPr>
          <w:tblHeader w:val="true"/>
          <w:cantSplit w:val="true"/>
        </w:trPr>
        <w:tc>
          <w:tcPr>
            <w:tcW w:type="dxa" w:w="2267"/>
            <w:shd w:fill="11161E"/>
            <w:tcMar>
              <w:top w:w="110" w:type="dxa"/>
              <w:start w:w="120" w:type="dxa"/>
              <w:bottom w:w="110" w:type="dxa"/>
              <w:end w:w="120" w:type="dxa"/>
            </w:tcMar>
            <w:vAlign w:val="center"/>
          </w:tcPr>
          <w:p>
            <w:pPr>
              <w:spacing w:after="0"/>
            </w:pPr>
            <w:r>
              <w:rPr>
                <w:b/>
                <w:color w:val="FFFFFF"/>
                <w:sz w:val="16"/>
              </w:rPr>
              <w:t>Role</w:t>
            </w:r>
          </w:p>
        </w:tc>
        <w:tc>
          <w:tcPr>
            <w:tcW w:type="dxa" w:w="7625"/>
            <w:shd w:fill="11161E"/>
            <w:tcMar>
              <w:top w:w="110" w:type="dxa"/>
              <w:start w:w="120" w:type="dxa"/>
              <w:bottom w:w="110" w:type="dxa"/>
              <w:end w:w="120" w:type="dxa"/>
            </w:tcMar>
            <w:vAlign w:val="center"/>
          </w:tcPr>
          <w:p>
            <w:pPr>
              <w:spacing w:after="0"/>
            </w:pPr>
            <w:r>
              <w:rPr>
                <w:b/>
                <w:color w:val="FFFFFF"/>
                <w:sz w:val="16"/>
              </w:rPr>
              <w:t>Typical responsibilities</w:t>
            </w:r>
          </w:p>
        </w:tc>
      </w:tr>
      <w:tr>
        <w:trPr>
          <w:cantSplit w:val="true"/>
        </w:trPr>
        <w:tc>
          <w:tcPr>
            <w:tcW w:type="dxa" w:w="2267"/>
            <w:tcMar>
              <w:top w:w="110" w:type="dxa"/>
              <w:start w:w="120" w:type="dxa"/>
              <w:bottom w:w="110" w:type="dxa"/>
              <w:end w:w="120" w:type="dxa"/>
            </w:tcMar>
            <w:vAlign w:val="top"/>
          </w:tcPr>
          <w:p>
            <w:pPr>
              <w:spacing w:after="0"/>
            </w:pPr>
            <w:r>
              <w:rPr>
                <w:color w:val="252B33"/>
                <w:sz w:val="16"/>
              </w:rPr>
              <w:t>Tenant owner</w:t>
            </w:r>
          </w:p>
        </w:tc>
        <w:tc>
          <w:tcPr>
            <w:tcW w:type="dxa" w:w="7625"/>
            <w:tcMar>
              <w:top w:w="110" w:type="dxa"/>
              <w:start w:w="120" w:type="dxa"/>
              <w:bottom w:w="110" w:type="dxa"/>
              <w:end w:w="120" w:type="dxa"/>
            </w:tcMar>
            <w:vAlign w:val="top"/>
          </w:tcPr>
          <w:p>
            <w:pPr>
              <w:spacing w:after="0"/>
            </w:pPr>
            <w:r>
              <w:rPr>
                <w:color w:val="252B33"/>
                <w:sz w:val="16"/>
              </w:rPr>
              <w:t>Full tenant administration, settings, billing, email, team, content, and results.</w:t>
            </w:r>
          </w:p>
        </w:tc>
      </w:tr>
      <w:tr>
        <w:trPr>
          <w:cantSplit w:val="true"/>
        </w:trPr>
        <w:tc>
          <w:tcPr>
            <w:tcW w:type="dxa" w:w="2267"/>
            <w:tcMar>
              <w:top w:w="110" w:type="dxa"/>
              <w:start w:w="120" w:type="dxa"/>
              <w:bottom w:w="110" w:type="dxa"/>
              <w:end w:w="120" w:type="dxa"/>
            </w:tcMar>
            <w:shd w:fill="F4F5F7"/>
            <w:vAlign w:val="top"/>
          </w:tcPr>
          <w:p>
            <w:pPr>
              <w:spacing w:after="0"/>
            </w:pPr>
            <w:r>
              <w:rPr>
                <w:color w:val="252B33"/>
                <w:sz w:val="16"/>
              </w:rPr>
              <w:t>Questionnaire manager</w:t>
            </w:r>
          </w:p>
        </w:tc>
        <w:tc>
          <w:tcPr>
            <w:tcW w:type="dxa" w:w="7625"/>
            <w:tcMar>
              <w:top w:w="110" w:type="dxa"/>
              <w:start w:w="120" w:type="dxa"/>
              <w:bottom w:w="110" w:type="dxa"/>
              <w:end w:w="120" w:type="dxa"/>
            </w:tcMar>
            <w:shd w:fill="F4F5F7"/>
            <w:vAlign w:val="top"/>
          </w:tcPr>
          <w:p>
            <w:pPr>
              <w:spacing w:after="0"/>
            </w:pPr>
            <w:r>
              <w:rPr>
                <w:color w:val="252B33"/>
                <w:sz w:val="16"/>
              </w:rPr>
              <w:t>Private question-pool management, multi-questionnaire composition, preview, sendings, reminders, exports, and identified response reopening.</w:t>
            </w:r>
          </w:p>
        </w:tc>
      </w:tr>
      <w:tr>
        <w:trPr>
          <w:cantSplit w:val="true"/>
        </w:trPr>
        <w:tc>
          <w:tcPr>
            <w:tcW w:type="dxa" w:w="2267"/>
            <w:tcMar>
              <w:top w:w="110" w:type="dxa"/>
              <w:start w:w="120" w:type="dxa"/>
              <w:bottom w:w="110" w:type="dxa"/>
              <w:end w:w="120" w:type="dxa"/>
            </w:tcMar>
            <w:vAlign w:val="top"/>
          </w:tcPr>
          <w:p>
            <w:pPr>
              <w:spacing w:after="0"/>
            </w:pPr>
            <w:r>
              <w:rPr>
                <w:color w:val="252B33"/>
                <w:sz w:val="16"/>
              </w:rPr>
              <w:t>Recipient manager</w:t>
            </w:r>
          </w:p>
        </w:tc>
        <w:tc>
          <w:tcPr>
            <w:tcW w:type="dxa" w:w="7625"/>
            <w:tcMar>
              <w:top w:w="110" w:type="dxa"/>
              <w:start w:w="120" w:type="dxa"/>
              <w:bottom w:w="110" w:type="dxa"/>
              <w:end w:w="120" w:type="dxa"/>
            </w:tcMar>
            <w:vAlign w:val="top"/>
          </w:tcPr>
          <w:p>
            <w:pPr>
              <w:spacing w:after="0"/>
            </w:pPr>
            <w:r>
              <w:rPr>
                <w:color w:val="252B33"/>
                <w:sz w:val="16"/>
              </w:rPr>
              <w:t>Recipient records, categories, lists, custom fields, and imports.</w:t>
            </w:r>
          </w:p>
        </w:tc>
      </w:tr>
      <w:tr>
        <w:trPr>
          <w:cantSplit w:val="true"/>
        </w:trPr>
        <w:tc>
          <w:tcPr>
            <w:tcW w:type="dxa" w:w="2267"/>
            <w:tcMar>
              <w:top w:w="110" w:type="dxa"/>
              <w:start w:w="120" w:type="dxa"/>
              <w:bottom w:w="110" w:type="dxa"/>
              <w:end w:w="120" w:type="dxa"/>
            </w:tcMar>
            <w:shd w:fill="F4F5F7"/>
            <w:vAlign w:val="top"/>
          </w:tcPr>
          <w:p>
            <w:pPr>
              <w:spacing w:after="0"/>
            </w:pPr>
            <w:r>
              <w:rPr>
                <w:color w:val="252B33"/>
                <w:sz w:val="16"/>
              </w:rPr>
              <w:t>Analyst</w:t>
            </w:r>
          </w:p>
        </w:tc>
        <w:tc>
          <w:tcPr>
            <w:tcW w:type="dxa" w:w="7625"/>
            <w:tcMar>
              <w:top w:w="110" w:type="dxa"/>
              <w:start w:w="120" w:type="dxa"/>
              <w:bottom w:w="110" w:type="dxa"/>
              <w:end w:w="120" w:type="dxa"/>
            </w:tcMar>
            <w:shd w:fill="F4F5F7"/>
            <w:vAlign w:val="top"/>
          </w:tcPr>
          <w:p>
            <w:pPr>
              <w:spacing w:after="0"/>
            </w:pPr>
            <w:r>
              <w:rPr>
                <w:color w:val="252B33"/>
                <w:sz w:val="16"/>
              </w:rPr>
              <w:t>Question-level analytics and controlled result exports.</w:t>
            </w:r>
          </w:p>
        </w:tc>
      </w:tr>
      <w:tr>
        <w:trPr>
          <w:cantSplit w:val="true"/>
        </w:trPr>
        <w:tc>
          <w:tcPr>
            <w:tcW w:type="dxa" w:w="2267"/>
            <w:tcMar>
              <w:top w:w="110" w:type="dxa"/>
              <w:start w:w="120" w:type="dxa"/>
              <w:bottom w:w="110" w:type="dxa"/>
              <w:end w:w="120" w:type="dxa"/>
            </w:tcMar>
            <w:vAlign w:val="top"/>
          </w:tcPr>
          <w:p>
            <w:pPr>
              <w:spacing w:after="0"/>
            </w:pPr>
            <w:r>
              <w:rPr>
                <w:color w:val="252B33"/>
                <w:sz w:val="16"/>
              </w:rPr>
              <w:t>Viewer</w:t>
            </w:r>
          </w:p>
        </w:tc>
        <w:tc>
          <w:tcPr>
            <w:tcW w:type="dxa" w:w="7625"/>
            <w:tcMar>
              <w:top w:w="110" w:type="dxa"/>
              <w:start w:w="120" w:type="dxa"/>
              <w:bottom w:w="110" w:type="dxa"/>
              <w:end w:w="120" w:type="dxa"/>
            </w:tcMar>
            <w:vAlign w:val="top"/>
          </w:tcPr>
          <w:p>
            <w:pPr>
              <w:spacing w:after="0"/>
            </w:pPr>
            <w:r>
              <w:rPr>
                <w:color w:val="252B33"/>
                <w:sz w:val="16"/>
              </w:rPr>
              <w:t>Read-only analytics and results where allowed.</w:t>
            </w:r>
          </w:p>
        </w:tc>
      </w:tr>
      <w:tr>
        <w:trPr>
          <w:cantSplit w:val="true"/>
        </w:trPr>
        <w:tc>
          <w:tcPr>
            <w:tcW w:type="dxa" w:w="2267"/>
            <w:tcMar>
              <w:top w:w="110" w:type="dxa"/>
              <w:start w:w="120" w:type="dxa"/>
              <w:bottom w:w="110" w:type="dxa"/>
              <w:end w:w="120" w:type="dxa"/>
            </w:tcMar>
            <w:shd w:fill="F4F5F7"/>
            <w:vAlign w:val="top"/>
          </w:tcPr>
          <w:p>
            <w:pPr>
              <w:spacing w:after="0"/>
            </w:pPr>
            <w:r>
              <w:rPr>
                <w:color w:val="252B33"/>
                <w:sz w:val="16"/>
              </w:rPr>
              <w:t>RhoMinds super admin</w:t>
            </w:r>
          </w:p>
        </w:tc>
        <w:tc>
          <w:tcPr>
            <w:tcW w:type="dxa" w:w="7625"/>
            <w:tcMar>
              <w:top w:w="110" w:type="dxa"/>
              <w:start w:w="120" w:type="dxa"/>
              <w:bottom w:w="110" w:type="dxa"/>
              <w:end w:w="120" w:type="dxa"/>
            </w:tcMar>
            <w:shd w:fill="F4F5F7"/>
            <w:vAlign w:val="top"/>
          </w:tcPr>
          <w:p>
            <w:pPr>
              <w:spacing w:after="0"/>
            </w:pPr>
            <w:r>
              <w:rPr>
                <w:color w:val="252B33"/>
                <w:sz w:val="16"/>
              </w:rPr>
              <w:t>Tenant approval, fallback email, plans, manual subscriptions, and temporary audited bypass.</w:t>
            </w:r>
          </w:p>
        </w:tc>
      </w:tr>
    </w:tbl>
    <w:p>
      <w:pPr>
        <w:spacing w:after="20"/>
      </w:pPr>
    </w:p>
    <w:p>
      <w:pPr>
        <w:spacing w:before="80" w:after="0"/>
        <w:jc w:val="center"/>
      </w:pPr>
      <w:r>
        <w:drawing>
          <wp:inline xmlns:a="http://schemas.openxmlformats.org/drawingml/2006/main" xmlns:pic="http://schemas.openxmlformats.org/drawingml/2006/picture">
            <wp:extent cx="4320000" cy="2430000"/>
            <wp:docPr id="2" name="Picture 2" descr="Administration overview with a Northstar tenant card and active status." title="Administration overview with a Northstar tenant card and active status."/>
            <wp:cNvGraphicFramePr>
              <a:graphicFrameLocks noChangeAspect="1"/>
            </wp:cNvGraphicFramePr>
            <a:graphic>
              <a:graphicData uri="http://schemas.openxmlformats.org/drawingml/2006/picture">
                <pic:pic>
                  <pic:nvPicPr>
                    <pic:cNvPr id="0" name="admin-overview.png"/>
                    <pic:cNvPicPr/>
                  </pic:nvPicPr>
                  <pic:blipFill>
                    <a:blip r:embed="rId12"/>
                    <a:stretch>
                      <a:fillRect/>
                    </a:stretch>
                  </pic:blipFill>
                  <pic:spPr>
                    <a:xfrm>
                      <a:off x="0" y="0"/>
                      <a:ext cx="4320000" cy="2430000"/>
                    </a:xfrm>
                    <a:prstGeom prst="rect"/>
                  </pic:spPr>
                </pic:pic>
              </a:graphicData>
            </a:graphic>
          </wp:inline>
        </w:drawing>
      </w:r>
    </w:p>
    <w:p>
      <w:pPr>
        <w:pStyle w:val="RQCaption"/>
      </w:pPr>
      <w:r>
        <w:rPr>
          <w:b w:val="0"/>
          <w:i/>
          <w:color w:val="66707C"/>
          <w:sz w:val="15"/>
          <w:lang w:val="en-US"/>
        </w:rPr>
        <w:t>Figure 1. A company can own several questionnaires composed from the same private question pool.</w:t>
      </w:r>
    </w:p>
    <w:p>
      <w:pPr>
        <w:pStyle w:val="RQEyebrow"/>
      </w:pPr>
      <w:r>
        <w:rPr>
          <w:b/>
          <w:i w:val="0"/>
          <w:color w:val="FF7A1A"/>
          <w:lang w:val="en-US"/>
        </w:rPr>
        <w:t>02 · TENANT SETUP</w:t>
      </w:r>
    </w:p>
    <w:p>
      <w:pPr>
        <w:pStyle w:val="Heading1"/>
        <w:pBdr>
          <w:bottom w:val="single" w:sz="16" w:space="5" w:color="FF7A1A"/>
        </w:pBdr>
        <w:keepNext w:val="1"/>
      </w:pPr>
      <w:r>
        <w:rPr>
          <w:b/>
          <w:i w:val="0"/>
          <w:color w:val="11161E"/>
          <w:lang w:val="en-US"/>
        </w:rPr>
        <w:t>Configure a company</w:t>
      </w:r>
    </w:p>
    <w:p>
      <w:pPr>
        <w:pStyle w:val="RQLead"/>
      </w:pPr>
      <w:r>
        <w:rPr>
          <w:b w:val="0"/>
          <w:i w:val="0"/>
          <w:lang w:val="en-US"/>
        </w:rPr>
        <w:t>Tenant settings are the source for company identity and defaults. Access and response-identity choices are copied into each new sending, so changing the tenant later does not rewrite historical campaigns.</w:t>
      </w:r>
    </w:p>
    <w:p>
      <w:pPr>
        <w:pStyle w:val="Heading2"/>
        <w:keepNext w:val="1"/>
      </w:pPr>
      <w:r>
        <w:rPr>
          <w:b/>
          <w:i w:val="0"/>
          <w:color w:val="5B2E91"/>
          <w:lang w:val="en-US"/>
        </w:rPr>
        <w:t>Choose the recipient access mode</w:t>
      </w:r>
    </w:p>
    <w:tbl>
      <w:tblPr>
        <w:tblW w:type="dxa" w:w="9891"/>
        <w:jc w:val="center"/>
        <w:tblLayout w:type="fixed"/>
        <w:tblLook w:firstColumn="1" w:firstRow="1" w:lastColumn="0" w:lastRow="0" w:noHBand="0" w:noVBand="1" w:val="04A0"/>
        <w:tblInd w:w="120" w:type="dxa"/>
      </w:tblPr>
      <w:tblGrid>
        <w:gridCol w:w="2040"/>
        <w:gridCol w:w="3514"/>
        <w:gridCol w:w="4337"/>
      </w:tblGrid>
      <w:tr>
        <w:trPr>
          <w:tblHeader w:val="true"/>
          <w:cantSplit w:val="true"/>
        </w:trPr>
        <w:tc>
          <w:tcPr>
            <w:tcW w:type="dxa" w:w="2040"/>
            <w:shd w:fill="11161E"/>
            <w:tcMar>
              <w:top w:w="110" w:type="dxa"/>
              <w:start w:w="120" w:type="dxa"/>
              <w:bottom w:w="110" w:type="dxa"/>
              <w:end w:w="120" w:type="dxa"/>
            </w:tcMar>
            <w:vAlign w:val="center"/>
          </w:tcPr>
          <w:p>
            <w:pPr>
              <w:spacing w:after="0"/>
            </w:pPr>
            <w:r>
              <w:rPr>
                <w:b/>
                <w:color w:val="FFFFFF"/>
                <w:sz w:val="16"/>
              </w:rPr>
              <w:t>Setting</w:t>
            </w:r>
          </w:p>
        </w:tc>
        <w:tc>
          <w:tcPr>
            <w:tcW w:type="dxa" w:w="3514"/>
            <w:shd w:fill="11161E"/>
            <w:tcMar>
              <w:top w:w="110" w:type="dxa"/>
              <w:start w:w="120" w:type="dxa"/>
              <w:bottom w:w="110" w:type="dxa"/>
              <w:end w:w="120" w:type="dxa"/>
            </w:tcMar>
            <w:vAlign w:val="center"/>
          </w:tcPr>
          <w:p>
            <w:pPr>
              <w:spacing w:after="0"/>
            </w:pPr>
            <w:r>
              <w:rPr>
                <w:b/>
                <w:color w:val="FFFFFF"/>
                <w:sz w:val="16"/>
              </w:rPr>
              <w:t>Use when</w:t>
            </w:r>
          </w:p>
        </w:tc>
        <w:tc>
          <w:tcPr>
            <w:tcW w:type="dxa" w:w="4337"/>
            <w:shd w:fill="11161E"/>
            <w:tcMar>
              <w:top w:w="110" w:type="dxa"/>
              <w:start w:w="120" w:type="dxa"/>
              <w:bottom w:w="110" w:type="dxa"/>
              <w:end w:w="120" w:type="dxa"/>
            </w:tcMar>
            <w:vAlign w:val="center"/>
          </w:tcPr>
          <w:p>
            <w:pPr>
              <w:spacing w:after="0"/>
            </w:pPr>
            <w:r>
              <w:rPr>
                <w:b/>
                <w:color w:val="FFFFFF"/>
                <w:sz w:val="16"/>
              </w:rPr>
              <w:t>Recipient experience</w:t>
            </w:r>
          </w:p>
        </w:tc>
      </w:tr>
      <w:tr>
        <w:trPr>
          <w:cantSplit w:val="true"/>
        </w:trPr>
        <w:tc>
          <w:tcPr>
            <w:tcW w:type="dxa" w:w="2040"/>
            <w:tcMar>
              <w:top w:w="110" w:type="dxa"/>
              <w:start w:w="120" w:type="dxa"/>
              <w:bottom w:w="110" w:type="dxa"/>
              <w:end w:w="120" w:type="dxa"/>
            </w:tcMar>
            <w:vAlign w:val="top"/>
          </w:tcPr>
          <w:p>
            <w:pPr>
              <w:spacing w:after="0"/>
            </w:pPr>
            <w:r>
              <w:rPr>
                <w:color w:val="252B33"/>
                <w:sz w:val="16"/>
              </w:rPr>
              <w:t>EmailPassword</w:t>
            </w:r>
          </w:p>
        </w:tc>
        <w:tc>
          <w:tcPr>
            <w:tcW w:type="dxa" w:w="3514"/>
            <w:tcMar>
              <w:top w:w="110" w:type="dxa"/>
              <w:start w:w="120" w:type="dxa"/>
              <w:bottom w:w="110" w:type="dxa"/>
              <w:end w:w="120" w:type="dxa"/>
            </w:tcMar>
            <w:vAlign w:val="top"/>
          </w:tcPr>
          <w:p>
            <w:pPr>
              <w:spacing w:after="0"/>
            </w:pPr>
            <w:r>
              <w:rPr>
                <w:color w:val="252B33"/>
                <w:sz w:val="16"/>
              </w:rPr>
              <w:t>The company wants reusable recipient accounts and an inbox of assigned questionnaires.</w:t>
            </w:r>
          </w:p>
        </w:tc>
        <w:tc>
          <w:tcPr>
            <w:tcW w:type="dxa" w:w="4337"/>
            <w:tcMar>
              <w:top w:w="110" w:type="dxa"/>
              <w:start w:w="120" w:type="dxa"/>
              <w:bottom w:w="110" w:type="dxa"/>
              <w:end w:w="120" w:type="dxa"/>
            </w:tcMar>
            <w:vAlign w:val="top"/>
          </w:tcPr>
          <w:p>
            <w:pPr>
              <w:spacing w:after="0"/>
            </w:pPr>
            <w:r>
              <w:rPr>
                <w:color w:val="252B33"/>
                <w:sz w:val="16"/>
              </w:rPr>
              <w:t>The emailed link opens the sending; if needed, the recipient signs in on the tenant page.</w:t>
            </w:r>
          </w:p>
        </w:tc>
      </w:tr>
      <w:tr>
        <w:trPr>
          <w:cantSplit w:val="true"/>
        </w:trPr>
        <w:tc>
          <w:tcPr>
            <w:tcW w:type="dxa" w:w="2040"/>
            <w:tcMar>
              <w:top w:w="110" w:type="dxa"/>
              <w:start w:w="120" w:type="dxa"/>
              <w:bottom w:w="110" w:type="dxa"/>
              <w:end w:w="120" w:type="dxa"/>
            </w:tcMar>
            <w:shd w:fill="F4F5F7"/>
            <w:vAlign w:val="top"/>
          </w:tcPr>
          <w:p>
            <w:pPr>
              <w:spacing w:after="0"/>
            </w:pPr>
            <w:r>
              <w:rPr>
                <w:color w:val="252B33"/>
                <w:sz w:val="16"/>
              </w:rPr>
              <w:t>InvitationCode</w:t>
            </w:r>
          </w:p>
        </w:tc>
        <w:tc>
          <w:tcPr>
            <w:tcW w:type="dxa" w:w="3514"/>
            <w:tcMar>
              <w:top w:w="110" w:type="dxa"/>
              <w:start w:w="120" w:type="dxa"/>
              <w:bottom w:w="110" w:type="dxa"/>
              <w:end w:w="120" w:type="dxa"/>
            </w:tcMar>
            <w:shd w:fill="F4F5F7"/>
            <w:vAlign w:val="top"/>
          </w:tcPr>
          <w:p>
            <w:pPr>
              <w:spacing w:after="0"/>
            </w:pPr>
            <w:r>
              <w:rPr>
                <w:color w:val="252B33"/>
                <w:sz w:val="16"/>
              </w:rPr>
              <w:t>The company wants link-led access without a reusable password account.</w:t>
            </w:r>
          </w:p>
        </w:tc>
        <w:tc>
          <w:tcPr>
            <w:tcW w:type="dxa" w:w="4337"/>
            <w:tcMar>
              <w:top w:w="110" w:type="dxa"/>
              <w:start w:w="120" w:type="dxa"/>
              <w:bottom w:w="110" w:type="dxa"/>
              <w:end w:w="120" w:type="dxa"/>
            </w:tcMar>
            <w:shd w:fill="F4F5F7"/>
            <w:vAlign w:val="top"/>
          </w:tcPr>
          <w:p>
            <w:pPr>
              <w:spacing w:after="0"/>
            </w:pPr>
            <w:r>
              <w:rPr>
                <w:color w:val="252B33"/>
                <w:sz w:val="16"/>
              </w:rPr>
              <w:t>The full emailed link is sufficient. The six-character code is only for a link that cannot be opened and must be typed.</w:t>
            </w:r>
          </w:p>
        </w:tc>
      </w:tr>
    </w:tbl>
    <w:p>
      <w:pPr>
        <w:spacing w:after="20"/>
      </w:pPr>
    </w:p>
    <w:p>
      <w:pPr>
        <w:pStyle w:val="Heading2"/>
        <w:keepNext w:val="1"/>
      </w:pPr>
      <w:r>
        <w:rPr>
          <w:b/>
          <w:i w:val="0"/>
          <w:color w:val="5B2E91"/>
          <w:lang w:val="en-US"/>
        </w:rPr>
        <w:t>Choose response identity</w:t>
      </w:r>
    </w:p>
    <w:tbl>
      <w:tblPr>
        <w:tblW w:type="dxa" w:w="9891"/>
        <w:jc w:val="center"/>
        <w:tblLayout w:type="fixed"/>
        <w:tblLook w:firstColumn="1" w:firstRow="1" w:lastColumn="0" w:lastRow="0" w:noHBand="0" w:noVBand="1" w:val="04A0"/>
        <w:tblInd w:w="120" w:type="dxa"/>
      </w:tblPr>
      <w:tblGrid>
        <w:gridCol w:w="1700"/>
        <w:gridCol w:w="3514"/>
        <w:gridCol w:w="4677"/>
      </w:tblGrid>
      <w:tr>
        <w:trPr>
          <w:tblHeader w:val="true"/>
          <w:cantSplit w:val="true"/>
        </w:trPr>
        <w:tc>
          <w:tcPr>
            <w:tcW w:type="dxa" w:w="1700"/>
            <w:shd w:fill="11161E"/>
            <w:tcMar>
              <w:top w:w="110" w:type="dxa"/>
              <w:start w:w="120" w:type="dxa"/>
              <w:bottom w:w="110" w:type="dxa"/>
              <w:end w:w="120" w:type="dxa"/>
            </w:tcMar>
            <w:vAlign w:val="center"/>
          </w:tcPr>
          <w:p>
            <w:pPr>
              <w:spacing w:after="0"/>
            </w:pPr>
            <w:r>
              <w:rPr>
                <w:b/>
                <w:color w:val="FFFFFF"/>
                <w:sz w:val="16"/>
              </w:rPr>
              <w:t>Mode</w:t>
            </w:r>
          </w:p>
        </w:tc>
        <w:tc>
          <w:tcPr>
            <w:tcW w:type="dxa" w:w="3514"/>
            <w:shd w:fill="11161E"/>
            <w:tcMar>
              <w:top w:w="110" w:type="dxa"/>
              <w:start w:w="120" w:type="dxa"/>
              <w:bottom w:w="110" w:type="dxa"/>
              <w:end w:w="120" w:type="dxa"/>
            </w:tcMar>
            <w:vAlign w:val="center"/>
          </w:tcPr>
          <w:p>
            <w:pPr>
              <w:spacing w:after="0"/>
            </w:pPr>
            <w:r>
              <w:rPr>
                <w:b/>
                <w:color w:val="FFFFFF"/>
                <w:sz w:val="16"/>
              </w:rPr>
              <w:t>What administrators see</w:t>
            </w:r>
          </w:p>
        </w:tc>
        <w:tc>
          <w:tcPr>
            <w:tcW w:type="dxa" w:w="4677"/>
            <w:shd w:fill="11161E"/>
            <w:tcMar>
              <w:top w:w="110" w:type="dxa"/>
              <w:start w:w="120" w:type="dxa"/>
              <w:bottom w:w="110" w:type="dxa"/>
              <w:end w:w="120" w:type="dxa"/>
            </w:tcMar>
            <w:vAlign w:val="center"/>
          </w:tcPr>
          <w:p>
            <w:pPr>
              <w:spacing w:after="0"/>
            </w:pPr>
            <w:r>
              <w:rPr>
                <w:b/>
                <w:color w:val="FFFFFF"/>
                <w:sz w:val="16"/>
              </w:rPr>
              <w:t>Operational consequence</w:t>
            </w:r>
          </w:p>
        </w:tc>
      </w:tr>
      <w:tr>
        <w:trPr>
          <w:cantSplit w:val="true"/>
        </w:trPr>
        <w:tc>
          <w:tcPr>
            <w:tcW w:type="dxa" w:w="1700"/>
            <w:tcMar>
              <w:top w:w="110" w:type="dxa"/>
              <w:start w:w="120" w:type="dxa"/>
              <w:bottom w:w="110" w:type="dxa"/>
              <w:end w:w="120" w:type="dxa"/>
            </w:tcMar>
            <w:vAlign w:val="top"/>
          </w:tcPr>
          <w:p>
            <w:pPr>
              <w:spacing w:after="0"/>
            </w:pPr>
            <w:r>
              <w:rPr>
                <w:color w:val="252B33"/>
                <w:sz w:val="16"/>
              </w:rPr>
              <w:t>Identified</w:t>
            </w:r>
          </w:p>
        </w:tc>
        <w:tc>
          <w:tcPr>
            <w:tcW w:type="dxa" w:w="3514"/>
            <w:tcMar>
              <w:top w:w="110" w:type="dxa"/>
              <w:start w:w="120" w:type="dxa"/>
              <w:bottom w:w="110" w:type="dxa"/>
              <w:end w:w="120" w:type="dxa"/>
            </w:tcMar>
            <w:vAlign w:val="top"/>
          </w:tcPr>
          <w:p>
            <w:pPr>
              <w:spacing w:after="0"/>
            </w:pPr>
            <w:r>
              <w:rPr>
                <w:color w:val="252B33"/>
                <w:sz w:val="16"/>
              </w:rPr>
              <w:t>Responses remain linked to recipients.</w:t>
            </w:r>
          </w:p>
        </w:tc>
        <w:tc>
          <w:tcPr>
            <w:tcW w:type="dxa" w:w="4677"/>
            <w:tcMar>
              <w:top w:w="110" w:type="dxa"/>
              <w:start w:w="120" w:type="dxa"/>
              <w:bottom w:w="110" w:type="dxa"/>
              <w:end w:w="120" w:type="dxa"/>
            </w:tcMar>
            <w:vAlign w:val="top"/>
          </w:tcPr>
          <w:p>
            <w:pPr>
              <w:spacing w:after="0"/>
            </w:pPr>
            <w:r>
              <w:rPr>
                <w:color w:val="252B33"/>
                <w:sz w:val="16"/>
              </w:rPr>
              <w:t>Authorized managers can reopen a submitted response; every reopen is audited.</w:t>
            </w:r>
          </w:p>
        </w:tc>
      </w:tr>
      <w:tr>
        <w:trPr>
          <w:cantSplit w:val="true"/>
        </w:trPr>
        <w:tc>
          <w:tcPr>
            <w:tcW w:type="dxa" w:w="1700"/>
            <w:tcMar>
              <w:top w:w="110" w:type="dxa"/>
              <w:start w:w="120" w:type="dxa"/>
              <w:bottom w:w="110" w:type="dxa"/>
              <w:end w:w="120" w:type="dxa"/>
            </w:tcMar>
            <w:shd w:fill="F4F5F7"/>
            <w:vAlign w:val="top"/>
          </w:tcPr>
          <w:p>
            <w:pPr>
              <w:spacing w:after="0"/>
            </w:pPr>
            <w:r>
              <w:rPr>
                <w:color w:val="252B33"/>
                <w:sz w:val="16"/>
              </w:rPr>
              <w:t>Anonymous</w:t>
            </w:r>
          </w:p>
        </w:tc>
        <w:tc>
          <w:tcPr>
            <w:tcW w:type="dxa" w:w="3514"/>
            <w:tcMar>
              <w:top w:w="110" w:type="dxa"/>
              <w:start w:w="120" w:type="dxa"/>
              <w:bottom w:w="110" w:type="dxa"/>
              <w:end w:w="120" w:type="dxa"/>
            </w:tcMar>
            <w:shd w:fill="F4F5F7"/>
            <w:vAlign w:val="top"/>
          </w:tcPr>
          <w:p>
            <w:pPr>
              <w:spacing w:after="0"/>
            </w:pPr>
            <w:r>
              <w:rPr>
                <w:color w:val="252B33"/>
                <w:sz w:val="16"/>
              </w:rPr>
              <w:t>Results are analyzed without recipient identity.</w:t>
            </w:r>
          </w:p>
        </w:tc>
        <w:tc>
          <w:tcPr>
            <w:tcW w:type="dxa" w:w="4677"/>
            <w:tcMar>
              <w:top w:w="110" w:type="dxa"/>
              <w:start w:w="120" w:type="dxa"/>
              <w:bottom w:w="110" w:type="dxa"/>
              <w:end w:w="120" w:type="dxa"/>
            </w:tcMar>
            <w:shd w:fill="F4F5F7"/>
            <w:vAlign w:val="top"/>
          </w:tcPr>
          <w:p>
            <w:pPr>
              <w:spacing w:after="0"/>
            </w:pPr>
            <w:r>
              <w:rPr>
                <w:color w:val="252B33"/>
                <w:sz w:val="16"/>
              </w:rPr>
              <w:t>Question analytics stay suppressed until at least five responses are submitted.</w:t>
            </w:r>
          </w:p>
        </w:tc>
      </w:tr>
    </w:tbl>
    <w:p>
      <w:pPr>
        <w:spacing w:after="20"/>
      </w:pPr>
    </w:p>
    <w:p>
      <w:pPr>
        <w:pStyle w:val="Heading2"/>
        <w:keepNext w:val="1"/>
      </w:pPr>
      <w:r>
        <w:rPr>
          <w:b/>
          <w:i w:val="0"/>
          <w:color w:val="5B2E91"/>
          <w:lang w:val="en-US"/>
        </w:rPr>
        <w:t>Set branding, email, and subscription</w:t>
      </w:r>
    </w:p>
    <w:p>
      <w:pPr>
        <w:numPr>
          <w:ilvl w:val="0"/>
          <w:numId w:val="10"/>
        </w:numPr>
        <w:spacing w:after="60"/>
        <w:keepLines w:val="1"/>
      </w:pPr>
      <w:r>
        <w:rPr>
          <w:b w:val="0"/>
          <w:i w:val="0"/>
          <w:lang w:val="en-US"/>
        </w:rPr>
        <w:t>Open Settings from the tenant navigation.</w:t>
      </w:r>
    </w:p>
    <w:p>
      <w:pPr>
        <w:numPr>
          <w:ilvl w:val="0"/>
          <w:numId w:val="10"/>
        </w:numPr>
        <w:spacing w:after="60"/>
        <w:keepLines w:val="1"/>
      </w:pPr>
      <w:r>
        <w:rPr>
          <w:b w:val="0"/>
          <w:i w:val="0"/>
          <w:lang w:val="en-US"/>
        </w:rPr>
        <w:t>Confirm company name, legal name, slug, time zone, recipient access, and response identity.</w:t>
      </w:r>
    </w:p>
    <w:p>
      <w:pPr>
        <w:numPr>
          <w:ilvl w:val="0"/>
          <w:numId w:val="10"/>
        </w:numPr>
        <w:spacing w:after="60"/>
        <w:keepLines w:val="1"/>
      </w:pPr>
      <w:r>
        <w:rPr>
          <w:b w:val="0"/>
          <w:i w:val="0"/>
          <w:lang w:val="en-US"/>
        </w:rPr>
        <w:t>Set the logo URL, primary and accent colors, support details, website, and footer text.</w:t>
      </w:r>
    </w:p>
    <w:p>
      <w:pPr>
        <w:numPr>
          <w:ilvl w:val="0"/>
          <w:numId w:val="10"/>
        </w:numPr>
        <w:spacing w:after="60"/>
        <w:keepLines w:val="1"/>
      </w:pPr>
      <w:r>
        <w:rPr>
          <w:b w:val="0"/>
          <w:i w:val="0"/>
          <w:lang w:val="en-US"/>
        </w:rPr>
        <w:t>Configure either SMTP or Microsoft Azure email — never both. If the tenant has no provider, the RhoMinds fallback provider is used.</w:t>
      </w:r>
    </w:p>
    <w:p>
      <w:pPr>
        <w:numPr>
          <w:ilvl w:val="0"/>
          <w:numId w:val="10"/>
        </w:numPr>
        <w:spacing w:after="60"/>
        <w:keepLines w:val="1"/>
      </w:pPr>
      <w:r>
        <w:rPr>
          <w:b w:val="0"/>
          <w:i w:val="0"/>
          <w:lang w:val="en-US"/>
        </w:rPr>
        <w:t>Confirm the subscription allowance. Limits apply to recipients per sending and first-dispatch sendings per billing period; either limit can be Unlimited.</w:t>
      </w:r>
    </w:p>
    <w:p>
      <w:pPr>
        <w:numPr>
          <w:ilvl w:val="0"/>
          <w:numId w:val="10"/>
        </w:numPr>
        <w:spacing w:after="60"/>
        <w:keepLines w:val="1"/>
      </w:pPr>
      <w:r>
        <w:rPr>
          <w:b w:val="0"/>
          <w:i w:val="0"/>
          <w:lang w:val="en-US"/>
        </w:rPr>
        <w:t>Customize language-specific invitation, reminder, and password templates. The service sanitizes the body and wraps it in the tenant-branded RhoMinds frame.</w:t>
      </w:r>
    </w:p>
    <w:p>
      <w:pPr>
        <w:spacing w:before="80" w:after="0"/>
        <w:jc w:val="center"/>
      </w:pPr>
      <w:r>
        <w:drawing>
          <wp:inline xmlns:a="http://schemas.openxmlformats.org/drawingml/2006/main" xmlns:pic="http://schemas.openxmlformats.org/drawingml/2006/picture">
            <wp:extent cx="6192000" cy="5726988"/>
            <wp:docPr id="3" name="Picture 3" descr="Tenant settings with company access, branding, and SMTP provider sections." title="Tenant settings with company access, branding, and SMTP provider sections."/>
            <wp:cNvGraphicFramePr>
              <a:graphicFrameLocks noChangeAspect="1"/>
            </wp:cNvGraphicFramePr>
            <a:graphic>
              <a:graphicData uri="http://schemas.openxmlformats.org/drawingml/2006/picture">
                <pic:pic>
                  <pic:nvPicPr>
                    <pic:cNvPr id="0" name="settings-top.png"/>
                    <pic:cNvPicPr/>
                  </pic:nvPicPr>
                  <pic:blipFill>
                    <a:blip r:embed="rId13"/>
                    <a:stretch>
                      <a:fillRect/>
                    </a:stretch>
                  </pic:blipFill>
                  <pic:spPr>
                    <a:xfrm>
                      <a:off x="0" y="0"/>
                      <a:ext cx="6192000" cy="5726988"/>
                    </a:xfrm>
                    <a:prstGeom prst="rect"/>
                  </pic:spPr>
                </pic:pic>
              </a:graphicData>
            </a:graphic>
          </wp:inline>
        </w:drawing>
      </w:r>
    </w:p>
    <w:p>
      <w:pPr>
        <w:pStyle w:val="RQCaption"/>
      </w:pPr>
      <w:r>
        <w:rPr>
          <w:b w:val="0"/>
          <w:i/>
          <w:color w:val="66707C"/>
          <w:sz w:val="15"/>
          <w:lang w:val="en-US"/>
        </w:rPr>
        <w:t>Figure 2. Tenant identity, access mode, branding, and the mutually exclusive email provider are managed together.</w:t>
      </w:r>
    </w:p>
    <w:tbl>
      <w:tblPr>
        <w:tblW w:type="dxa" w:w="9900"/>
        <w:jc w:val="center"/>
        <w:tblLayout w:type="fixed"/>
        <w:tblLook w:firstColumn="1" w:firstRow="1" w:lastColumn="0" w:lastRow="0" w:noHBand="0" w:noVBand="1" w:val="04A0"/>
        <w:tblInd w:w="180" w:type="dxa"/>
      </w:tblPr>
      <w:tblGrid>
        <w:gridCol w:w="9900"/>
      </w:tblGrid>
      <w:tr>
        <w:trPr>
          <w:cantSplit w:val="true"/>
        </w:trPr>
        <w:tc>
          <w:tcPr>
            <w:tcW w:type="dxa" w:w="9900"/>
            <w:shd w:fill="E9F8F5"/>
            <w:tcMar>
              <w:top w:w="140" w:type="dxa"/>
              <w:start w:w="180" w:type="dxa"/>
              <w:bottom w:w="140" w:type="dxa"/>
              <w:end w:w="180" w:type="dxa"/>
            </w:tcMar>
          </w:tcPr>
          <w:p>
            <w:pPr>
              <w:spacing w:after="40"/>
            </w:pPr>
            <w:r>
              <w:rPr>
                <w:b/>
                <w:i w:val="0"/>
                <w:color w:val="5B2E91"/>
                <w:lang w:val="en-US"/>
              </w:rPr>
              <w:t xml:space="preserve">Provider precedence  </w:t>
            </w:r>
            <w:r>
              <w:rPr>
                <w:b w:val="0"/>
                <w:i w:val="0"/>
                <w:lang w:val="en-US"/>
              </w:rPr>
              <w:t>A complete tenant provider always wins. The RhoMinds provider acts only when the tenant has no provider. SMTP uses the shared RhoSMTP path; Azure uses the shared Azure handling path.</w:t>
            </w:r>
          </w:p>
        </w:tc>
      </w:tr>
    </w:tbl>
    <w:p>
      <w:pPr>
        <w:spacing w:after="0"/>
      </w:pPr>
    </w:p>
    <w:p>
      <w:pPr>
        <w:spacing w:before="80" w:after="0"/>
        <w:jc w:val="center"/>
      </w:pPr>
      <w:r>
        <w:drawing>
          <wp:inline xmlns:a="http://schemas.openxmlformats.org/drawingml/2006/main" xmlns:pic="http://schemas.openxmlformats.org/drawingml/2006/picture">
            <wp:extent cx="6192000" cy="3915889"/>
            <wp:docPr id="4" name="Picture 4" descr="Tenant subscription and email-template sections with unlimited documentation plan." title="Tenant subscription and email-template sections with unlimited documentation plan."/>
            <wp:cNvGraphicFramePr>
              <a:graphicFrameLocks noChangeAspect="1"/>
            </wp:cNvGraphicFramePr>
            <a:graphic>
              <a:graphicData uri="http://schemas.openxmlformats.org/drawingml/2006/picture">
                <pic:pic>
                  <pic:nvPicPr>
                    <pic:cNvPr id="0" name="settings-bottom.png"/>
                    <pic:cNvPicPr/>
                  </pic:nvPicPr>
                  <pic:blipFill>
                    <a:blip r:embed="rId14"/>
                    <a:stretch>
                      <a:fillRect/>
                    </a:stretch>
                  </pic:blipFill>
                  <pic:spPr>
                    <a:xfrm>
                      <a:off x="0" y="0"/>
                      <a:ext cx="6192000" cy="3915889"/>
                    </a:xfrm>
                    <a:prstGeom prst="rect"/>
                  </pic:spPr>
                </pic:pic>
              </a:graphicData>
            </a:graphic>
          </wp:inline>
        </w:drawing>
      </w:r>
    </w:p>
    <w:p>
      <w:pPr>
        <w:pStyle w:val="RQCaption"/>
      </w:pPr>
      <w:r>
        <w:rPr>
          <w:b w:val="0"/>
          <w:i/>
          <w:color w:val="66707C"/>
          <w:sz w:val="15"/>
          <w:lang w:val="en-US"/>
        </w:rPr>
        <w:t>Figure 3. Subscription allowances and branded email templates are visible in the tenant workspace.</w:t>
      </w:r>
    </w:p>
    <w:p>
      <w:pPr>
        <w:pStyle w:val="RQEyebrow"/>
      </w:pPr>
      <w:r>
        <w:rPr>
          <w:b/>
          <w:i w:val="0"/>
          <w:color w:val="FF7A1A"/>
          <w:lang w:val="en-US"/>
        </w:rPr>
        <w:t>03 · QUESTIONNAIRE DESIGN</w:t>
      </w:r>
    </w:p>
    <w:p>
      <w:pPr>
        <w:pStyle w:val="Heading1"/>
        <w:pBdr>
          <w:bottom w:val="single" w:sz="16" w:space="5" w:color="FF7A1A"/>
        </w:pBdr>
        <w:keepNext w:val="1"/>
      </w:pPr>
      <w:r>
        <w:rPr>
          <w:b/>
          <w:i w:val="0"/>
          <w:color w:val="11161E"/>
          <w:lang w:val="en-US"/>
        </w:rPr>
        <w:t>Build questionnaires from the company question pool</w:t>
      </w:r>
    </w:p>
    <w:p>
      <w:pPr>
        <w:pStyle w:val="RQLead"/>
      </w:pPr>
      <w:r>
        <w:rPr>
          <w:b w:val="0"/>
          <w:i w:val="0"/>
          <w:lang w:val="en-US"/>
        </w:rPr>
        <w:t>The Predict approach separates the company’s private reusable question pool from questionnaire composition. One company can create many questionnaires from the same pool, while preview uses the same shared runner as recipients and never saves or submits values.</w:t>
      </w:r>
    </w:p>
    <w:p>
      <w:pPr/>
      <w:r>
        <w:t>Questions created here are private to the company. Editing a pooled question updates every draft questionnaire that uses it; questionnaires belonging to another company can never see or select it.</w:t>
      </w:r>
    </w:p>
    <w:p>
      <w:pPr>
        <w:pStyle w:val="Heading2"/>
        <w:keepNext w:val="1"/>
      </w:pPr>
      <w:r>
        <w:rPr>
          <w:b/>
          <w:i w:val="0"/>
          <w:color w:val="5B2E91"/>
          <w:lang w:val="en-US"/>
        </w:rPr>
        <w:t>Questionnaire-level settings</w:t>
      </w:r>
    </w:p>
    <w:tbl>
      <w:tblPr>
        <w:tblW w:type="dxa" w:w="9892"/>
        <w:jc w:val="center"/>
        <w:tblLayout w:type="fixed"/>
        <w:tblLook w:firstColumn="1" w:firstRow="1" w:lastColumn="0" w:lastRow="0" w:noHBand="0" w:noVBand="1" w:val="04A0"/>
        <w:tblInd w:w="120" w:type="dxa"/>
      </w:tblPr>
      <w:tblGrid>
        <w:gridCol w:w="2494"/>
        <w:gridCol w:w="7398"/>
      </w:tblGrid>
      <w:tr>
        <w:trPr>
          <w:tblHeader w:val="true"/>
          <w:cantSplit w:val="true"/>
        </w:trPr>
        <w:tc>
          <w:tcPr>
            <w:tcW w:type="dxa" w:w="2494"/>
            <w:shd w:fill="11161E"/>
            <w:tcMar>
              <w:top w:w="110" w:type="dxa"/>
              <w:start w:w="120" w:type="dxa"/>
              <w:bottom w:w="110" w:type="dxa"/>
              <w:end w:w="120" w:type="dxa"/>
            </w:tcMar>
            <w:vAlign w:val="center"/>
          </w:tcPr>
          <w:p>
            <w:pPr>
              <w:spacing w:after="0"/>
            </w:pPr>
            <w:r>
              <w:rPr>
                <w:b/>
                <w:color w:val="FFFFFF"/>
                <w:sz w:val="16"/>
              </w:rPr>
              <w:t>Field</w:t>
            </w:r>
          </w:p>
        </w:tc>
        <w:tc>
          <w:tcPr>
            <w:tcW w:type="dxa" w:w="7398"/>
            <w:shd w:fill="11161E"/>
            <w:tcMar>
              <w:top w:w="110" w:type="dxa"/>
              <w:start w:w="120" w:type="dxa"/>
              <w:bottom w:w="110" w:type="dxa"/>
              <w:end w:w="120" w:type="dxa"/>
            </w:tcMar>
            <w:vAlign w:val="center"/>
          </w:tcPr>
          <w:p>
            <w:pPr>
              <w:spacing w:after="0"/>
            </w:pPr>
            <w:r>
              <w:rPr>
                <w:b/>
                <w:color w:val="FFFFFF"/>
                <w:sz w:val="16"/>
              </w:rPr>
              <w:t>Purpose</w:t>
            </w:r>
          </w:p>
        </w:tc>
      </w:tr>
      <w:tr>
        <w:trPr>
          <w:cantSplit w:val="true"/>
        </w:trPr>
        <w:tc>
          <w:tcPr>
            <w:tcW w:type="dxa" w:w="2494"/>
            <w:tcMar>
              <w:top w:w="110" w:type="dxa"/>
              <w:start w:w="120" w:type="dxa"/>
              <w:bottom w:w="110" w:type="dxa"/>
              <w:end w:w="120" w:type="dxa"/>
            </w:tcMar>
            <w:vAlign w:val="top"/>
          </w:tcPr>
          <w:p>
            <w:pPr>
              <w:spacing w:after="0"/>
            </w:pPr>
            <w:r>
              <w:rPr>
                <w:color w:val="252B33"/>
                <w:sz w:val="16"/>
              </w:rPr>
              <w:t>Name</w:t>
            </w:r>
          </w:p>
        </w:tc>
        <w:tc>
          <w:tcPr>
            <w:tcW w:type="dxa" w:w="7398"/>
            <w:tcMar>
              <w:top w:w="110" w:type="dxa"/>
              <w:start w:w="120" w:type="dxa"/>
              <w:bottom w:w="110" w:type="dxa"/>
              <w:end w:w="120" w:type="dxa"/>
            </w:tcMar>
            <w:vAlign w:val="top"/>
          </w:tcPr>
          <w:p>
            <w:pPr>
              <w:spacing w:after="0"/>
            </w:pPr>
            <w:r>
              <w:rPr>
                <w:color w:val="252B33"/>
                <w:sz w:val="16"/>
              </w:rPr>
              <w:t>Administrative identity; unique inside the tenant.</w:t>
            </w:r>
          </w:p>
        </w:tc>
      </w:tr>
      <w:tr>
        <w:trPr>
          <w:cantSplit w:val="true"/>
        </w:trPr>
        <w:tc>
          <w:tcPr>
            <w:tcW w:type="dxa" w:w="2494"/>
            <w:tcMar>
              <w:top w:w="110" w:type="dxa"/>
              <w:start w:w="120" w:type="dxa"/>
              <w:bottom w:w="110" w:type="dxa"/>
              <w:end w:w="120" w:type="dxa"/>
            </w:tcMar>
            <w:shd w:fill="F4F5F7"/>
            <w:vAlign w:val="top"/>
          </w:tcPr>
          <w:p>
            <w:pPr>
              <w:spacing w:after="0"/>
            </w:pPr>
            <w:r>
              <w:rPr>
                <w:color w:val="252B33"/>
                <w:sz w:val="16"/>
              </w:rPr>
              <w:t>Title and description</w:t>
            </w:r>
          </w:p>
        </w:tc>
        <w:tc>
          <w:tcPr>
            <w:tcW w:type="dxa" w:w="7398"/>
            <w:tcMar>
              <w:top w:w="110" w:type="dxa"/>
              <w:start w:w="120" w:type="dxa"/>
              <w:bottom w:w="110" w:type="dxa"/>
              <w:end w:w="120" w:type="dxa"/>
            </w:tcMar>
            <w:shd w:fill="F4F5F7"/>
            <w:vAlign w:val="top"/>
          </w:tcPr>
          <w:p>
            <w:pPr>
              <w:spacing w:after="0"/>
            </w:pPr>
            <w:r>
              <w:rPr>
                <w:color w:val="252B33"/>
                <w:sz w:val="16"/>
              </w:rPr>
              <w:t>Recipient-facing heading and introduction.</w:t>
            </w:r>
          </w:p>
        </w:tc>
      </w:tr>
      <w:tr>
        <w:trPr>
          <w:cantSplit w:val="true"/>
        </w:trPr>
        <w:tc>
          <w:tcPr>
            <w:tcW w:type="dxa" w:w="2494"/>
            <w:tcMar>
              <w:top w:w="110" w:type="dxa"/>
              <w:start w:w="120" w:type="dxa"/>
              <w:bottom w:w="110" w:type="dxa"/>
              <w:end w:w="120" w:type="dxa"/>
            </w:tcMar>
            <w:vAlign w:val="top"/>
          </w:tcPr>
          <w:p>
            <w:pPr>
              <w:spacing w:after="0"/>
            </w:pPr>
            <w:r>
              <w:rPr>
                <w:color w:val="252B33"/>
                <w:sz w:val="16"/>
              </w:rPr>
              <w:t>Terms HTML / Show terms</w:t>
            </w:r>
          </w:p>
        </w:tc>
        <w:tc>
          <w:tcPr>
            <w:tcW w:type="dxa" w:w="7398"/>
            <w:tcMar>
              <w:top w:w="110" w:type="dxa"/>
              <w:start w:w="120" w:type="dxa"/>
              <w:bottom w:w="110" w:type="dxa"/>
              <w:end w:w="120" w:type="dxa"/>
            </w:tcMar>
            <w:vAlign w:val="top"/>
          </w:tcPr>
          <w:p>
            <w:pPr>
              <w:spacing w:after="0"/>
            </w:pPr>
            <w:r>
              <w:rPr>
                <w:color w:val="252B33"/>
                <w:sz w:val="16"/>
              </w:rPr>
              <w:t>Optional final-page terms plus required acceptance.</w:t>
            </w:r>
          </w:p>
        </w:tc>
      </w:tr>
      <w:tr>
        <w:trPr>
          <w:cantSplit w:val="true"/>
        </w:trPr>
        <w:tc>
          <w:tcPr>
            <w:tcW w:type="dxa" w:w="2494"/>
            <w:tcMar>
              <w:top w:w="110" w:type="dxa"/>
              <w:start w:w="120" w:type="dxa"/>
              <w:bottom w:w="110" w:type="dxa"/>
              <w:end w:w="120" w:type="dxa"/>
            </w:tcMar>
            <w:shd w:fill="F4F5F7"/>
            <w:vAlign w:val="top"/>
          </w:tcPr>
          <w:p>
            <w:pPr>
              <w:spacing w:after="0"/>
            </w:pPr>
            <w:r>
              <w:rPr>
                <w:color w:val="252B33"/>
                <w:sz w:val="16"/>
              </w:rPr>
              <w:t>Language</w:t>
            </w:r>
          </w:p>
        </w:tc>
        <w:tc>
          <w:tcPr>
            <w:tcW w:type="dxa" w:w="7398"/>
            <w:tcMar>
              <w:top w:w="110" w:type="dxa"/>
              <w:start w:w="120" w:type="dxa"/>
              <w:bottom w:w="110" w:type="dxa"/>
              <w:end w:w="120" w:type="dxa"/>
            </w:tcMar>
            <w:shd w:fill="F4F5F7"/>
            <w:vAlign w:val="top"/>
          </w:tcPr>
          <w:p>
            <w:pPr>
              <w:spacing w:after="0"/>
            </w:pPr>
            <w:r>
              <w:rPr>
                <w:color w:val="252B33"/>
                <w:sz w:val="16"/>
              </w:rPr>
              <w:t>Questionnaire language code and email-template selection context.</w:t>
            </w:r>
          </w:p>
        </w:tc>
      </w:tr>
      <w:tr>
        <w:trPr>
          <w:cantSplit w:val="true"/>
        </w:trPr>
        <w:tc>
          <w:tcPr>
            <w:tcW w:type="dxa" w:w="2494"/>
            <w:tcMar>
              <w:top w:w="110" w:type="dxa"/>
              <w:start w:w="120" w:type="dxa"/>
              <w:bottom w:w="110" w:type="dxa"/>
              <w:end w:w="120" w:type="dxa"/>
            </w:tcMar>
            <w:vAlign w:val="top"/>
          </w:tcPr>
          <w:p>
            <w:pPr>
              <w:spacing w:after="0"/>
            </w:pPr>
            <w:r>
              <w:rPr>
                <w:color w:val="252B33"/>
                <w:sz w:val="16"/>
              </w:rPr>
              <w:t>Filled by</w:t>
            </w:r>
          </w:p>
        </w:tc>
        <w:tc>
          <w:tcPr>
            <w:tcW w:type="dxa" w:w="7398"/>
            <w:tcMar>
              <w:top w:w="110" w:type="dxa"/>
              <w:start w:w="120" w:type="dxa"/>
              <w:bottom w:w="110" w:type="dxa"/>
              <w:end w:w="120" w:type="dxa"/>
            </w:tcMar>
            <w:vAlign w:val="top"/>
          </w:tcPr>
          <w:p>
            <w:pPr>
              <w:spacing w:after="0"/>
            </w:pPr>
            <w:r>
              <w:rPr>
                <w:color w:val="252B33"/>
                <w:sz w:val="16"/>
              </w:rPr>
              <w:t>Recipient, tenant staff, or either.</w:t>
            </w:r>
          </w:p>
        </w:tc>
      </w:tr>
      <w:tr>
        <w:trPr>
          <w:cantSplit w:val="true"/>
        </w:trPr>
        <w:tc>
          <w:tcPr>
            <w:tcW w:type="dxa" w:w="2494"/>
            <w:tcMar>
              <w:top w:w="110" w:type="dxa"/>
              <w:start w:w="120" w:type="dxa"/>
              <w:bottom w:w="110" w:type="dxa"/>
              <w:end w:w="120" w:type="dxa"/>
            </w:tcMar>
            <w:shd w:fill="F4F5F7"/>
            <w:vAlign w:val="top"/>
          </w:tcPr>
          <w:p>
            <w:pPr>
              <w:spacing w:after="0"/>
            </w:pPr>
            <w:r>
              <w:rPr>
                <w:color w:val="252B33"/>
                <w:sz w:val="16"/>
              </w:rPr>
              <w:t>Show recipient information</w:t>
            </w:r>
          </w:p>
        </w:tc>
        <w:tc>
          <w:tcPr>
            <w:tcW w:type="dxa" w:w="7398"/>
            <w:tcMar>
              <w:top w:w="110" w:type="dxa"/>
              <w:start w:w="120" w:type="dxa"/>
              <w:bottom w:w="110" w:type="dxa"/>
              <w:end w:w="120" w:type="dxa"/>
            </w:tcMar>
            <w:shd w:fill="F4F5F7"/>
            <w:vAlign w:val="top"/>
          </w:tcPr>
          <w:p>
            <w:pPr>
              <w:spacing w:after="0"/>
            </w:pPr>
            <w:r>
              <w:rPr>
                <w:color w:val="252B33"/>
                <w:sz w:val="16"/>
              </w:rPr>
              <w:t>Adds first name, last name, personal identifier, and gender fields to page one.</w:t>
            </w:r>
          </w:p>
        </w:tc>
      </w:tr>
    </w:tbl>
    <w:p>
      <w:pPr>
        <w:spacing w:after="20"/>
      </w:pPr>
    </w:p>
    <w:p>
      <w:pPr>
        <w:pStyle w:val="Heading2"/>
        <w:keepNext w:val="1"/>
      </w:pPr>
      <w:r>
        <w:rPr>
          <w:b/>
          <w:i w:val="0"/>
          <w:color w:val="5B2E91"/>
          <w:lang w:val="en-US"/>
        </w:rPr>
        <w:t>Supported question choices</w:t>
      </w:r>
    </w:p>
    <w:tbl>
      <w:tblPr>
        <w:tblW w:type="dxa" w:w="9892"/>
        <w:jc w:val="center"/>
        <w:tblLayout w:type="fixed"/>
        <w:tblLook w:firstColumn="1" w:firstRow="1" w:lastColumn="0" w:lastRow="0" w:noHBand="0" w:noVBand="1" w:val="04A0"/>
        <w:tblInd w:w="120" w:type="dxa"/>
      </w:tblPr>
      <w:tblGrid>
        <w:gridCol w:w="2721"/>
        <w:gridCol w:w="7171"/>
      </w:tblGrid>
      <w:tr>
        <w:trPr>
          <w:tblHeader w:val="true"/>
          <w:cantSplit w:val="true"/>
        </w:trPr>
        <w:tc>
          <w:tcPr>
            <w:tcW w:type="dxa" w:w="2721"/>
            <w:shd w:fill="11161E"/>
            <w:tcMar>
              <w:top w:w="110" w:type="dxa"/>
              <w:start w:w="120" w:type="dxa"/>
              <w:bottom w:w="110" w:type="dxa"/>
              <w:end w:w="120" w:type="dxa"/>
            </w:tcMar>
            <w:vAlign w:val="center"/>
          </w:tcPr>
          <w:p>
            <w:pPr>
              <w:spacing w:after="0"/>
            </w:pPr>
            <w:r>
              <w:rPr>
                <w:b/>
                <w:color w:val="FFFFFF"/>
                <w:sz w:val="16"/>
              </w:rPr>
              <w:t>Answer types</w:t>
            </w:r>
          </w:p>
        </w:tc>
        <w:tc>
          <w:tcPr>
            <w:tcW w:type="dxa" w:w="7171"/>
            <w:shd w:fill="11161E"/>
            <w:tcMar>
              <w:top w:w="110" w:type="dxa"/>
              <w:start w:w="120" w:type="dxa"/>
              <w:bottom w:w="110" w:type="dxa"/>
              <w:end w:w="120" w:type="dxa"/>
            </w:tcMar>
            <w:vAlign w:val="center"/>
          </w:tcPr>
          <w:p>
            <w:pPr>
              <w:spacing w:after="0"/>
            </w:pPr>
            <w:r>
              <w:rPr>
                <w:b/>
                <w:color w:val="FFFFFF"/>
                <w:sz w:val="16"/>
              </w:rPr>
              <w:t>Controls and behavior</w:t>
            </w:r>
          </w:p>
        </w:tc>
      </w:tr>
      <w:tr>
        <w:trPr>
          <w:cantSplit w:val="true"/>
        </w:trPr>
        <w:tc>
          <w:tcPr>
            <w:tcW w:type="dxa" w:w="2721"/>
            <w:tcMar>
              <w:top w:w="110" w:type="dxa"/>
              <w:start w:w="120" w:type="dxa"/>
              <w:bottom w:w="110" w:type="dxa"/>
              <w:end w:w="120" w:type="dxa"/>
            </w:tcMar>
            <w:vAlign w:val="top"/>
          </w:tcPr>
          <w:p>
            <w:pPr>
              <w:spacing w:after="0"/>
            </w:pPr>
            <w:r>
              <w:rPr>
                <w:color w:val="252B33"/>
                <w:sz w:val="16"/>
              </w:rPr>
              <w:t>Integer, Decimal</w:t>
            </w:r>
          </w:p>
        </w:tc>
        <w:tc>
          <w:tcPr>
            <w:tcW w:type="dxa" w:w="7171"/>
            <w:tcMar>
              <w:top w:w="110" w:type="dxa"/>
              <w:start w:w="120" w:type="dxa"/>
              <w:bottom w:w="110" w:type="dxa"/>
              <w:end w:w="120" w:type="dxa"/>
            </w:tcMar>
            <w:vAlign w:val="top"/>
          </w:tcPr>
          <w:p>
            <w:pPr>
              <w:spacing w:after="0"/>
            </w:pPr>
            <w:r>
              <w:rPr>
                <w:color w:val="252B33"/>
                <w:sz w:val="16"/>
              </w:rPr>
              <w:t>Number input; integer answers also retain an integer value. SpinEdit is available.</w:t>
            </w:r>
          </w:p>
        </w:tc>
      </w:tr>
      <w:tr>
        <w:trPr>
          <w:cantSplit w:val="true"/>
        </w:trPr>
        <w:tc>
          <w:tcPr>
            <w:tcW w:type="dxa" w:w="2721"/>
            <w:tcMar>
              <w:top w:w="110" w:type="dxa"/>
              <w:start w:w="120" w:type="dxa"/>
              <w:bottom w:w="110" w:type="dxa"/>
              <w:end w:w="120" w:type="dxa"/>
            </w:tcMar>
            <w:shd w:fill="F4F5F7"/>
            <w:vAlign w:val="top"/>
          </w:tcPr>
          <w:p>
            <w:pPr>
              <w:spacing w:after="0"/>
            </w:pPr>
            <w:r>
              <w:rPr>
                <w:color w:val="252B33"/>
                <w:sz w:val="16"/>
              </w:rPr>
              <w:t>Boolean</w:t>
            </w:r>
          </w:p>
        </w:tc>
        <w:tc>
          <w:tcPr>
            <w:tcW w:type="dxa" w:w="7171"/>
            <w:tcMar>
              <w:top w:w="110" w:type="dxa"/>
              <w:start w:w="120" w:type="dxa"/>
              <w:bottom w:w="110" w:type="dxa"/>
              <w:end w:w="120" w:type="dxa"/>
            </w:tcMar>
            <w:shd w:fill="F4F5F7"/>
            <w:vAlign w:val="top"/>
          </w:tcPr>
          <w:p>
            <w:pPr>
              <w:spacing w:after="0"/>
            </w:pPr>
            <w:r>
              <w:rPr>
                <w:color w:val="252B33"/>
                <w:sz w:val="16"/>
              </w:rPr>
              <w:t>Yes/No controls including the custom Yes/No presentation.</w:t>
            </w:r>
          </w:p>
        </w:tc>
      </w:tr>
      <w:tr>
        <w:trPr>
          <w:cantSplit w:val="true"/>
        </w:trPr>
        <w:tc>
          <w:tcPr>
            <w:tcW w:type="dxa" w:w="2721"/>
            <w:tcMar>
              <w:top w:w="110" w:type="dxa"/>
              <w:start w:w="120" w:type="dxa"/>
              <w:bottom w:w="110" w:type="dxa"/>
              <w:end w:w="120" w:type="dxa"/>
            </w:tcMar>
            <w:vAlign w:val="top"/>
          </w:tcPr>
          <w:p>
            <w:pPr>
              <w:spacing w:after="0"/>
            </w:pPr>
            <w:r>
              <w:rPr>
                <w:color w:val="252B33"/>
                <w:sz w:val="16"/>
              </w:rPr>
              <w:t>String</w:t>
            </w:r>
          </w:p>
        </w:tc>
        <w:tc>
          <w:tcPr>
            <w:tcW w:type="dxa" w:w="7171"/>
            <w:tcMar>
              <w:top w:w="110" w:type="dxa"/>
              <w:start w:w="120" w:type="dxa"/>
              <w:bottom w:w="110" w:type="dxa"/>
              <w:end w:w="120" w:type="dxa"/>
            </w:tcMar>
            <w:vAlign w:val="top"/>
          </w:tcPr>
          <w:p>
            <w:pPr>
              <w:spacing w:after="0"/>
            </w:pPr>
            <w:r>
              <w:rPr>
                <w:color w:val="252B33"/>
                <w:sz w:val="16"/>
              </w:rPr>
              <w:t>TextBox or MemoEdit for short and long text.</w:t>
            </w:r>
          </w:p>
        </w:tc>
      </w:tr>
      <w:tr>
        <w:trPr>
          <w:cantSplit w:val="true"/>
        </w:trPr>
        <w:tc>
          <w:tcPr>
            <w:tcW w:type="dxa" w:w="2721"/>
            <w:tcMar>
              <w:top w:w="110" w:type="dxa"/>
              <w:start w:w="120" w:type="dxa"/>
              <w:bottom w:w="110" w:type="dxa"/>
              <w:end w:w="120" w:type="dxa"/>
            </w:tcMar>
            <w:shd w:fill="F4F5F7"/>
            <w:vAlign w:val="top"/>
          </w:tcPr>
          <w:p>
            <w:pPr>
              <w:spacing w:after="0"/>
            </w:pPr>
            <w:r>
              <w:rPr>
                <w:color w:val="252B33"/>
                <w:sz w:val="16"/>
              </w:rPr>
              <w:t>DateTime</w:t>
            </w:r>
          </w:p>
        </w:tc>
        <w:tc>
          <w:tcPr>
            <w:tcW w:type="dxa" w:w="7171"/>
            <w:tcMar>
              <w:top w:w="110" w:type="dxa"/>
              <w:start w:w="120" w:type="dxa"/>
              <w:bottom w:w="110" w:type="dxa"/>
              <w:end w:w="120" w:type="dxa"/>
            </w:tcMar>
            <w:shd w:fill="F4F5F7"/>
            <w:vAlign w:val="top"/>
          </w:tcPr>
          <w:p>
            <w:pPr>
              <w:spacing w:after="0"/>
            </w:pPr>
            <w:r>
              <w:rPr>
                <w:color w:val="252B33"/>
                <w:sz w:val="16"/>
              </w:rPr>
              <w:t>Date input.</w:t>
            </w:r>
          </w:p>
        </w:tc>
      </w:tr>
      <w:tr>
        <w:trPr>
          <w:cantSplit w:val="true"/>
        </w:trPr>
        <w:tc>
          <w:tcPr>
            <w:tcW w:type="dxa" w:w="2721"/>
            <w:tcMar>
              <w:top w:w="110" w:type="dxa"/>
              <w:start w:w="120" w:type="dxa"/>
              <w:bottom w:w="110" w:type="dxa"/>
              <w:end w:w="120" w:type="dxa"/>
            </w:tcMar>
            <w:vAlign w:val="top"/>
          </w:tcPr>
          <w:p>
            <w:pPr>
              <w:spacing w:after="0"/>
            </w:pPr>
            <w:r>
              <w:rPr>
                <w:color w:val="252B33"/>
                <w:sz w:val="16"/>
              </w:rPr>
              <w:t>SingleChoiceOption</w:t>
            </w:r>
          </w:p>
        </w:tc>
        <w:tc>
          <w:tcPr>
            <w:tcW w:type="dxa" w:w="7171"/>
            <w:tcMar>
              <w:top w:w="110" w:type="dxa"/>
              <w:start w:w="120" w:type="dxa"/>
              <w:bottom w:w="110" w:type="dxa"/>
              <w:end w:w="120" w:type="dxa"/>
            </w:tcMar>
            <w:vAlign w:val="top"/>
          </w:tcPr>
          <w:p>
            <w:pPr>
              <w:spacing w:after="0"/>
            </w:pPr>
            <w:r>
              <w:rPr>
                <w:color w:val="252B33"/>
                <w:sz w:val="16"/>
              </w:rPr>
              <w:t>SingleChoice, RadioButtons, or ListBox with stored/display option pairs.</w:t>
            </w:r>
          </w:p>
        </w:tc>
      </w:tr>
      <w:tr>
        <w:trPr>
          <w:cantSplit w:val="true"/>
        </w:trPr>
        <w:tc>
          <w:tcPr>
            <w:tcW w:type="dxa" w:w="2721"/>
            <w:tcMar>
              <w:top w:w="110" w:type="dxa"/>
              <w:start w:w="120" w:type="dxa"/>
              <w:bottom w:w="110" w:type="dxa"/>
              <w:end w:w="120" w:type="dxa"/>
            </w:tcMar>
            <w:shd w:fill="F4F5F7"/>
            <w:vAlign w:val="top"/>
          </w:tcPr>
          <w:p>
            <w:pPr>
              <w:spacing w:after="0"/>
            </w:pPr>
            <w:r>
              <w:rPr>
                <w:color w:val="252B33"/>
                <w:sz w:val="16"/>
              </w:rPr>
              <w:t>MultipleChoiceOption</w:t>
            </w:r>
          </w:p>
        </w:tc>
        <w:tc>
          <w:tcPr>
            <w:tcW w:type="dxa" w:w="7171"/>
            <w:tcMar>
              <w:top w:w="110" w:type="dxa"/>
              <w:start w:w="120" w:type="dxa"/>
              <w:bottom w:w="110" w:type="dxa"/>
              <w:end w:w="120" w:type="dxa"/>
            </w:tcMar>
            <w:shd w:fill="F4F5F7"/>
            <w:vAlign w:val="top"/>
          </w:tcPr>
          <w:p>
            <w:pPr>
              <w:spacing w:after="0"/>
            </w:pPr>
            <w:r>
              <w:rPr>
                <w:color w:val="252B33"/>
                <w:sz w:val="16"/>
              </w:rPr>
              <w:t>MultipleChoice with any number of selected options.</w:t>
            </w:r>
          </w:p>
        </w:tc>
      </w:tr>
    </w:tbl>
    <w:p>
      <w:pPr>
        <w:spacing w:after="20"/>
      </w:pPr>
    </w:p>
    <w:p>
      <w:pPr>
        <w:pStyle w:val="Heading2"/>
        <w:keepNext w:val="1"/>
      </w:pPr>
      <w:r>
        <w:rPr>
          <w:b/>
          <w:i w:val="0"/>
          <w:color w:val="5B2E91"/>
          <w:lang w:val="en-US"/>
        </w:rPr>
        <w:t>Build the definition</w:t>
      </w:r>
    </w:p>
    <w:p>
      <w:pPr>
        <w:numPr>
          <w:ilvl w:val="0"/>
          <w:numId w:val="10"/>
        </w:numPr>
        <w:spacing w:after="60"/>
        <w:keepLines w:val="1"/>
      </w:pPr>
      <w:r>
        <w:rPr>
          <w:b w:val="0"/>
          <w:i w:val="0"/>
          <w:lang w:val="en-US"/>
        </w:rPr>
        <w:t>Open Question pool and create each reusable question with its stable internal name, recipient-facing title, answer type, and control type.</w:t>
      </w:r>
    </w:p>
    <w:p>
      <w:pPr>
        <w:numPr>
          <w:ilvl w:val="0"/>
          <w:numId w:val="10"/>
        </w:numPr>
        <w:spacing w:after="60"/>
        <w:keepLines w:val="1"/>
      </w:pPr>
      <w:r>
        <w:rPr>
          <w:b w:val="0"/>
          <w:i w:val="0"/>
          <w:lang w:val="en-US"/>
        </w:rPr>
        <w:t>Define choice options, hierarchy, required state, visibility, enabled-state dependencies, masks, hints, descriptions, and picture URLs on the pooled question.</w:t>
      </w:r>
    </w:p>
    <w:p>
      <w:pPr>
        <w:numPr>
          <w:ilvl w:val="0"/>
          <w:numId w:val="10"/>
        </w:numPr>
        <w:spacing w:after="60"/>
        <w:keepLines w:val="1"/>
      </w:pPr>
      <w:r>
        <w:rPr>
          <w:b w:val="0"/>
          <w:i w:val="0"/>
          <w:lang w:val="en-US"/>
        </w:rPr>
        <w:t>Create or open a questionnaire and complete its questionnaire-level fields.</w:t>
      </w:r>
    </w:p>
    <w:p>
      <w:pPr>
        <w:numPr>
          <w:ilvl w:val="0"/>
          <w:numId w:val="10"/>
        </w:numPr>
        <w:spacing w:after="60"/>
        <w:keepLines w:val="1"/>
      </w:pPr>
      <w:r>
        <w:rPr>
          <w:b w:val="0"/>
          <w:i w:val="0"/>
          <w:lang w:val="en-US"/>
        </w:rPr>
        <w:t>Move questions from Available questions into Selected questions. The same pooled question may be selected into several questionnaires for this company.</w:t>
      </w:r>
    </w:p>
    <w:p>
      <w:pPr>
        <w:numPr>
          <w:ilvl w:val="0"/>
          <w:numId w:val="10"/>
        </w:numPr>
        <w:spacing w:after="60"/>
        <w:keepLines w:val="1"/>
      </w:pPr>
      <w:r>
        <w:rPr>
          <w:b w:val="0"/>
          <w:i w:val="0"/>
          <w:lang w:val="en-US"/>
        </w:rPr>
        <w:t>Order the selected questions and set questionnaire-specific New page markers. Parent and dependency questions are included with the question so the composition remains valid.</w:t>
      </w:r>
    </w:p>
    <w:p>
      <w:pPr>
        <w:numPr>
          <w:ilvl w:val="0"/>
          <w:numId w:val="10"/>
        </w:numPr>
        <w:spacing w:after="60"/>
        <w:keepLines w:val="1"/>
      </w:pPr>
      <w:r>
        <w:rPr>
          <w:b w:val="0"/>
          <w:i w:val="0"/>
          <w:lang w:val="en-US"/>
        </w:rPr>
        <w:t>Use Edit from the composer to change a pooled definition. The change appears in every draft questionnaire using it, but never alters an existing sending snapshot.</w:t>
      </w:r>
    </w:p>
    <w:p>
      <w:pPr>
        <w:numPr>
          <w:ilvl w:val="0"/>
          <w:numId w:val="10"/>
        </w:numPr>
        <w:spacing w:after="60"/>
        <w:keepLines w:val="1"/>
      </w:pPr>
      <w:r>
        <w:rPr>
          <w:b w:val="0"/>
          <w:i w:val="0"/>
          <w:lang w:val="en-US"/>
        </w:rPr>
        <w:t>Preview the complete questionnaire, test every page and dependency, then save.</w:t>
      </w:r>
    </w:p>
    <w:p>
      <w:pPr>
        <w:numPr>
          <w:ilvl w:val="0"/>
          <w:numId w:val="10"/>
        </w:numPr>
        <w:spacing w:after="60"/>
        <w:keepLines w:val="1"/>
      </w:pPr>
      <w:r>
        <w:rPr>
          <w:b w:val="0"/>
          <w:i w:val="0"/>
          <w:lang w:val="en-US"/>
        </w:rPr>
        <w:t>Create additional questionnaires from the same company pool whenever a different survey composition is needed.</w:t>
      </w:r>
    </w:p>
    <w:p>
      <w:pPr>
        <w:spacing w:before="80" w:after="0"/>
        <w:jc w:val="center"/>
      </w:pPr>
      <w:r>
        <w:drawing>
          <wp:inline xmlns:a="http://schemas.openxmlformats.org/drawingml/2006/main" xmlns:pic="http://schemas.openxmlformats.org/drawingml/2006/picture">
            <wp:extent cx="6192000" cy="5266871"/>
            <wp:docPr id="5" name="Picture 5" descr="Predict-style questionnaire editor with questionnaire settings and six collapsed questions." title="Predict-style questionnaire editor with questionnaire settings and six collapsed questions."/>
            <wp:cNvGraphicFramePr>
              <a:graphicFrameLocks noChangeAspect="1"/>
            </wp:cNvGraphicFramePr>
            <a:graphic>
              <a:graphicData uri="http://schemas.openxmlformats.org/drawingml/2006/picture">
                <pic:pic>
                  <pic:nvPicPr>
                    <pic:cNvPr id="0" name="questionnaire-editor.png"/>
                    <pic:cNvPicPr/>
                  </pic:nvPicPr>
                  <pic:blipFill>
                    <a:blip r:embed="rId15"/>
                    <a:stretch>
                      <a:fillRect/>
                    </a:stretch>
                  </pic:blipFill>
                  <pic:spPr>
                    <a:xfrm>
                      <a:off x="0" y="0"/>
                      <a:ext cx="6192000" cy="5266871"/>
                    </a:xfrm>
                    <a:prstGeom prst="rect"/>
                  </pic:spPr>
                </pic:pic>
              </a:graphicData>
            </a:graphic>
          </wp:inline>
        </w:drawing>
      </w:r>
    </w:p>
    <w:p>
      <w:pPr>
        <w:pStyle w:val="RQCaption"/>
      </w:pPr>
      <w:r>
        <w:rPr>
          <w:b w:val="0"/>
          <w:i/>
          <w:color w:val="66707C"/>
          <w:sz w:val="15"/>
          <w:lang w:val="en-US"/>
        </w:rPr>
        <w:t>Figure 4. The private company question pool preserves every Predict-compatible question definition and option.</w:t>
      </w:r>
    </w:p>
    <w:p>
      <w:pPr>
        <w:spacing w:before="80" w:after="0"/>
        <w:jc w:val="center"/>
      </w:pPr>
      <w:r>
        <w:drawing>
          <wp:inline xmlns:a="http://schemas.openxmlformats.org/drawingml/2006/main" xmlns:pic="http://schemas.openxmlformats.org/drawingml/2006/picture">
            <wp:extent cx="6192000" cy="5883623"/>
            <wp:docPr id="6" name="Picture 6" descr="Questionnaire preview showing page progress, questions, and preview notice." title="Questionnaire preview showing page progress, questions, and preview notice."/>
            <wp:cNvGraphicFramePr>
              <a:graphicFrameLocks noChangeAspect="1"/>
            </wp:cNvGraphicFramePr>
            <a:graphic>
              <a:graphicData uri="http://schemas.openxmlformats.org/drawingml/2006/picture">
                <pic:pic>
                  <pic:nvPicPr>
                    <pic:cNvPr id="0" name="questionnaire-preview.png"/>
                    <pic:cNvPicPr/>
                  </pic:nvPicPr>
                  <pic:blipFill>
                    <a:blip r:embed="rId11"/>
                    <a:stretch>
                      <a:fillRect/>
                    </a:stretch>
                  </pic:blipFill>
                  <pic:spPr>
                    <a:xfrm>
                      <a:off x="0" y="0"/>
                      <a:ext cx="6192000" cy="5883623"/>
                    </a:xfrm>
                    <a:prstGeom prst="rect"/>
                  </pic:spPr>
                </pic:pic>
              </a:graphicData>
            </a:graphic>
          </wp:inline>
        </w:drawing>
      </w:r>
    </w:p>
    <w:p>
      <w:pPr>
        <w:pStyle w:val="RQCaption"/>
      </w:pPr>
      <w:r>
        <w:rPr>
          <w:b w:val="0"/>
          <w:i/>
          <w:color w:val="66707C"/>
          <w:sz w:val="15"/>
          <w:lang w:val="en-US"/>
        </w:rPr>
        <w:t>Figure 5. Questionnaire composition owns selection, order, and page breaks without copying pooled definitions.</w:t>
      </w:r>
    </w:p>
    <w:tbl>
      <w:tblPr>
        <w:tblW w:type="dxa" w:w="9900"/>
        <w:jc w:val="center"/>
        <w:tblLayout w:type="fixed"/>
        <w:tblLook w:firstColumn="1" w:firstRow="1" w:lastColumn="0" w:lastRow="0" w:noHBand="0" w:noVBand="1" w:val="04A0"/>
        <w:tblInd w:w="180" w:type="dxa"/>
      </w:tblPr>
      <w:tblGrid>
        <w:gridCol w:w="9900"/>
      </w:tblGrid>
      <w:tr>
        <w:trPr>
          <w:cantSplit w:val="true"/>
        </w:trPr>
        <w:tc>
          <w:tcPr>
            <w:tcW w:type="dxa" w:w="9900"/>
            <w:shd w:fill="FFF3E8"/>
            <w:tcMar>
              <w:top w:w="140" w:type="dxa"/>
              <w:start w:w="180" w:type="dxa"/>
              <w:bottom w:w="140" w:type="dxa"/>
              <w:end w:w="180" w:type="dxa"/>
            </w:tcMar>
          </w:tcPr>
          <w:p>
            <w:pPr>
              <w:spacing w:after="40"/>
            </w:pPr>
            <w:r>
              <w:rPr>
                <w:b/>
                <w:i w:val="0"/>
                <w:color w:val="FF7A1A"/>
                <w:lang w:val="en-US"/>
              </w:rPr>
              <w:t xml:space="preserve">No versioning in v1  </w:t>
            </w:r>
            <w:r>
              <w:rPr>
                <w:b w:val="0"/>
                <w:i w:val="0"/>
                <w:lang w:val="en-US"/>
              </w:rPr>
              <w:t>The questionnaire itself has no separate version history. Historical correctness comes from the immutable definition snapshot stored with every sending.</w:t>
            </w:r>
          </w:p>
        </w:tc>
      </w:tr>
    </w:tbl>
    <w:p>
      <w:pPr>
        <w:spacing w:after="0"/>
      </w:pPr>
    </w:p>
    <w:p>
      <w:pPr>
        <w:pStyle w:val="RQEyebrow"/>
      </w:pPr>
      <w:r>
        <w:rPr>
          <w:b/>
          <w:i w:val="0"/>
          <w:color w:val="FF7A1A"/>
          <w:lang w:val="en-US"/>
        </w:rPr>
        <w:t>04 · RECIPIENT MANAGEMENT</w:t>
      </w:r>
    </w:p>
    <w:p>
      <w:pPr>
        <w:pStyle w:val="Heading1"/>
        <w:pBdr>
          <w:bottom w:val="single" w:sz="16" w:space="5" w:color="FF7A1A"/>
        </w:pBdr>
        <w:keepNext w:val="1"/>
      </w:pPr>
      <w:r>
        <w:rPr>
          <w:b/>
          <w:i w:val="0"/>
          <w:color w:val="11161E"/>
          <w:lang w:val="en-US"/>
        </w:rPr>
        <w:t>Prepare recipients and audiences</w:t>
      </w:r>
    </w:p>
    <w:p>
      <w:pPr>
        <w:pStyle w:val="RQLead"/>
      </w:pPr>
      <w:r>
        <w:rPr>
          <w:b w:val="0"/>
          <w:i w:val="0"/>
          <w:lang w:val="en-US"/>
        </w:rPr>
        <w:t>Recipients can belong to many categories and many mailing lists. Typed custom fields support richer filters without turning the core recipient record into a tenant-specific schema.</w:t>
      </w:r>
    </w:p>
    <w:p>
      <w:pPr>
        <w:pStyle w:val="Heading2"/>
        <w:keepNext w:val="1"/>
      </w:pPr>
      <w:r>
        <w:rPr>
          <w:b/>
          <w:i w:val="0"/>
          <w:color w:val="5B2E91"/>
          <w:lang w:val="en-US"/>
        </w:rPr>
        <w:t>Maintain recipient records</w:t>
      </w:r>
    </w:p>
    <w:p>
      <w:pPr>
        <w:pStyle w:val="ListBullet"/>
        <w:spacing w:after="40"/>
      </w:pPr>
      <w:r>
        <w:rPr>
          <w:b w:val="0"/>
          <w:i w:val="0"/>
          <w:lang w:val="en-US"/>
        </w:rPr>
        <w:t>Add an email, name, optional personal identifier, gender, language, and (for account mode) a temporary password.</w:t>
      </w:r>
    </w:p>
    <w:p>
      <w:pPr>
        <w:pStyle w:val="ListBullet"/>
        <w:spacing w:after="40"/>
      </w:pPr>
      <w:r>
        <w:rPr>
          <w:b w:val="0"/>
          <w:i w:val="0"/>
          <w:lang w:val="en-US"/>
        </w:rPr>
        <w:t>Assign any number of categories such as region, segment, or advisory group.</w:t>
      </w:r>
    </w:p>
    <w:p>
      <w:pPr>
        <w:pStyle w:val="ListBullet"/>
        <w:spacing w:after="40"/>
      </w:pPr>
      <w:r>
        <w:rPr>
          <w:b w:val="0"/>
          <w:i w:val="0"/>
          <w:lang w:val="en-US"/>
        </w:rPr>
        <w:t>Create reusable mailing lists and choose their members.</w:t>
      </w:r>
    </w:p>
    <w:p>
      <w:pPr>
        <w:pStyle w:val="ListBullet"/>
        <w:spacing w:after="40"/>
      </w:pPr>
      <w:r>
        <w:rPr>
          <w:b w:val="0"/>
          <w:i w:val="0"/>
          <w:lang w:val="en-US"/>
        </w:rPr>
        <w:t>Define Text, Number, Date, IntegerBoolean, or FixedChoice custom fields.</w:t>
      </w:r>
    </w:p>
    <w:p>
      <w:pPr>
        <w:pStyle w:val="ListBullet"/>
        <w:spacing w:after="40"/>
      </w:pPr>
      <w:r>
        <w:rPr>
          <w:b w:val="0"/>
          <w:i w:val="0"/>
          <w:lang w:val="en-US"/>
        </w:rPr>
        <w:t>Deleting a recipient anonymizes the profile, removes active audience links and invitations, and detaches submitted responses from the person.</w:t>
      </w:r>
    </w:p>
    <w:p>
      <w:pPr>
        <w:spacing w:before="80" w:after="0"/>
        <w:jc w:val="center"/>
      </w:pPr>
      <w:r>
        <w:drawing>
          <wp:inline xmlns:a="http://schemas.openxmlformats.org/drawingml/2006/main" xmlns:pic="http://schemas.openxmlformats.org/drawingml/2006/picture">
            <wp:extent cx="6192000" cy="5345188"/>
            <wp:docPr id="7" name="Picture 7" descr="Recipients and audiences page with eight example recipients, categories, list, and custom fields." title="Recipients and audiences page with eight example recipients, categories, list, and custom fields."/>
            <wp:cNvGraphicFramePr>
              <a:graphicFrameLocks noChangeAspect="1"/>
            </wp:cNvGraphicFramePr>
            <a:graphic>
              <a:graphicData uri="http://schemas.openxmlformats.org/drawingml/2006/picture">
                <pic:pic>
                  <pic:nvPicPr>
                    <pic:cNvPr id="0" name="recipients-audiences.png"/>
                    <pic:cNvPicPr/>
                  </pic:nvPicPr>
                  <pic:blipFill>
                    <a:blip r:embed="rId16"/>
                    <a:stretch>
                      <a:fillRect/>
                    </a:stretch>
                  </pic:blipFill>
                  <pic:spPr>
                    <a:xfrm>
                      <a:off x="0" y="0"/>
                      <a:ext cx="6192000" cy="5345188"/>
                    </a:xfrm>
                    <a:prstGeom prst="rect"/>
                  </pic:spPr>
                </pic:pic>
              </a:graphicData>
            </a:graphic>
          </wp:inline>
        </w:drawing>
      </w:r>
    </w:p>
    <w:p>
      <w:pPr>
        <w:pStyle w:val="RQCaption"/>
      </w:pPr>
      <w:r>
        <w:rPr>
          <w:b w:val="0"/>
          <w:i/>
          <w:color w:val="66707C"/>
          <w:sz w:val="15"/>
          <w:lang w:val="en-US"/>
        </w:rPr>
        <w:t>Figure 6. Recipients, categories, mailing lists, and typed custom-field definitions share one audience workspace.</w:t>
      </w:r>
    </w:p>
    <w:p>
      <w:pPr>
        <w:pStyle w:val="Heading2"/>
        <w:keepNext w:val="1"/>
      </w:pPr>
      <w:r>
        <w:rPr>
          <w:b/>
          <w:i w:val="0"/>
          <w:color w:val="5B2E91"/>
          <w:lang w:val="en-US"/>
        </w:rPr>
        <w:t>Import CSV or XLSX</w:t>
      </w:r>
    </w:p>
    <w:p>
      <w:pPr>
        <w:numPr>
          <w:ilvl w:val="0"/>
          <w:numId w:val="10"/>
        </w:numPr>
        <w:spacing w:after="60"/>
        <w:keepLines w:val="1"/>
      </w:pPr>
      <w:r>
        <w:rPr>
          <w:b w:val="0"/>
          <w:i w:val="0"/>
          <w:lang w:val="en-US"/>
        </w:rPr>
        <w:t>Select Import CSV/XLSX and upload a file up to the configured limit.</w:t>
      </w:r>
    </w:p>
    <w:p>
      <w:pPr>
        <w:numPr>
          <w:ilvl w:val="0"/>
          <w:numId w:val="10"/>
        </w:numPr>
        <w:spacing w:after="60"/>
        <w:keepLines w:val="1"/>
      </w:pPr>
      <w:r>
        <w:rPr>
          <w:b w:val="0"/>
          <w:i w:val="0"/>
          <w:lang w:val="en-US"/>
        </w:rPr>
        <w:t>Review row count, duplicate-email count, sample rows, and reported errors. Preview does not import anything.</w:t>
      </w:r>
    </w:p>
    <w:p>
      <w:pPr>
        <w:numPr>
          <w:ilvl w:val="0"/>
          <w:numId w:val="10"/>
        </w:numPr>
        <w:spacing w:after="60"/>
        <w:keepLines w:val="1"/>
      </w:pPr>
      <w:r>
        <w:rPr>
          <w:b w:val="0"/>
          <w:i w:val="0"/>
          <w:lang w:val="en-US"/>
        </w:rPr>
        <w:t>Map every source header to a standard field, a custom field, or Ignore.</w:t>
      </w:r>
    </w:p>
    <w:p>
      <w:pPr>
        <w:numPr>
          <w:ilvl w:val="0"/>
          <w:numId w:val="10"/>
        </w:numPr>
        <w:spacing w:after="60"/>
        <w:keepLines w:val="1"/>
      </w:pPr>
      <w:r>
        <w:rPr>
          <w:b w:val="0"/>
          <w:i w:val="0"/>
          <w:lang w:val="en-US"/>
        </w:rPr>
        <w:t>Choose duplicate handling: Skip, Update, or Reject.</w:t>
      </w:r>
    </w:p>
    <w:p>
      <w:pPr>
        <w:numPr>
          <w:ilvl w:val="0"/>
          <w:numId w:val="10"/>
        </w:numPr>
        <w:spacing w:after="60"/>
        <w:keepLines w:val="1"/>
      </w:pPr>
      <w:r>
        <w:rPr>
          <w:b w:val="0"/>
          <w:i w:val="0"/>
          <w:lang w:val="en-US"/>
        </w:rPr>
        <w:t>Run the import and verify inserted, updated, skipped, and error counts.</w:t>
      </w:r>
    </w:p>
    <w:p>
      <w:pPr>
        <w:spacing w:before="80" w:after="0"/>
        <w:jc w:val="center"/>
      </w:pPr>
      <w:r>
        <w:drawing>
          <wp:inline xmlns:a="http://schemas.openxmlformats.org/drawingml/2006/main" xmlns:pic="http://schemas.openxmlformats.org/drawingml/2006/picture">
            <wp:extent cx="6192000" cy="6240948"/>
            <wp:docPr id="8" name="Picture 8" descr="Recipient import panel above the recipient and audience management page." title="Recipient import panel above the recipient and audience management page."/>
            <wp:cNvGraphicFramePr>
              <a:graphicFrameLocks noChangeAspect="1"/>
            </wp:cNvGraphicFramePr>
            <a:graphic>
              <a:graphicData uri="http://schemas.openxmlformats.org/drawingml/2006/picture">
                <pic:pic>
                  <pic:nvPicPr>
                    <pic:cNvPr id="0" name="recipient-import.png"/>
                    <pic:cNvPicPr/>
                  </pic:nvPicPr>
                  <pic:blipFill>
                    <a:blip r:embed="rId17"/>
                    <a:stretch>
                      <a:fillRect/>
                    </a:stretch>
                  </pic:blipFill>
                  <pic:spPr>
                    <a:xfrm>
                      <a:off x="0" y="0"/>
                      <a:ext cx="6192000" cy="6240948"/>
                    </a:xfrm>
                    <a:prstGeom prst="rect"/>
                  </pic:spPr>
                </pic:pic>
              </a:graphicData>
            </a:graphic>
          </wp:inline>
        </w:drawing>
      </w:r>
    </w:p>
    <w:p>
      <w:pPr>
        <w:pStyle w:val="RQCaption"/>
      </w:pPr>
      <w:r>
        <w:rPr>
          <w:b w:val="0"/>
          <w:i/>
          <w:color w:val="66707C"/>
          <w:sz w:val="15"/>
          <w:lang w:val="en-US"/>
        </w:rPr>
        <w:t>Figure 7. Import is a two-step preview-and-map flow; data is not written during preview.</w:t>
      </w:r>
    </w:p>
    <w:p>
      <w:pPr>
        <w:pStyle w:val="RQEyebrow"/>
      </w:pPr>
      <w:r>
        <w:rPr>
          <w:b/>
          <w:i w:val="0"/>
          <w:color w:val="FF7A1A"/>
          <w:lang w:val="en-US"/>
        </w:rPr>
        <w:t>05 · DELIVERY</w:t>
      </w:r>
    </w:p>
    <w:p>
      <w:pPr>
        <w:pStyle w:val="Heading1"/>
        <w:pBdr>
          <w:bottom w:val="single" w:sz="16" w:space="5" w:color="FF7A1A"/>
        </w:pBdr>
        <w:keepNext w:val="1"/>
      </w:pPr>
      <w:r>
        <w:rPr>
          <w:b/>
          <w:i w:val="0"/>
          <w:color w:val="11161E"/>
          <w:lang w:val="en-US"/>
        </w:rPr>
        <w:t>Create and operate sendings</w:t>
      </w:r>
    </w:p>
    <w:p>
      <w:pPr>
        <w:pStyle w:val="RQLead"/>
      </w:pPr>
      <w:r>
        <w:rPr>
          <w:b w:val="0"/>
          <w:i w:val="0"/>
          <w:lang w:val="en-US"/>
        </w:rPr>
        <w:t>A sending is the repeatable campaign unit. It binds a questionnaire snapshot, audience, access mode, identity mode, schedule, expiry, delivery state, reminders, and responses.</w:t>
      </w:r>
    </w:p>
    <w:p>
      <w:pPr>
        <w:spacing w:before="80" w:after="0"/>
        <w:jc w:val="center"/>
      </w:pPr>
      <w:r>
        <w:drawing>
          <wp:inline xmlns:a="http://schemas.openxmlformats.org/drawingml/2006/main" xmlns:pic="http://schemas.openxmlformats.org/drawingml/2006/picture">
            <wp:extent cx="6192000" cy="2339200"/>
            <wp:docPr id="9" name="Picture 9" descr="Six-step flow from design and audience selection through snapshot, delivery, response, and analytics." title="Six-step flow from design and audience selection through snapshot, delivery, response, and analytics."/>
            <wp:cNvGraphicFramePr>
              <a:graphicFrameLocks noChangeAspect="1"/>
            </wp:cNvGraphicFramePr>
            <a:graphic>
              <a:graphicData uri="http://schemas.openxmlformats.org/drawingml/2006/picture">
                <pic:pic>
                  <pic:nvPicPr>
                    <pic:cNvPr id="0" name="sending-flow.png"/>
                    <pic:cNvPicPr/>
                  </pic:nvPicPr>
                  <pic:blipFill>
                    <a:blip r:embed="rId18"/>
                    <a:stretch>
                      <a:fillRect/>
                    </a:stretch>
                  </pic:blipFill>
                  <pic:spPr>
                    <a:xfrm>
                      <a:off x="0" y="0"/>
                      <a:ext cx="6192000" cy="2339200"/>
                    </a:xfrm>
                    <a:prstGeom prst="rect"/>
                  </pic:spPr>
                </pic:pic>
              </a:graphicData>
            </a:graphic>
          </wp:inline>
        </w:drawing>
      </w:r>
    </w:p>
    <w:p>
      <w:pPr>
        <w:pStyle w:val="RQCaption"/>
      </w:pPr>
      <w:r>
        <w:rPr>
          <w:b w:val="0"/>
          <w:i/>
          <w:color w:val="66707C"/>
          <w:sz w:val="15"/>
          <w:lang w:val="en-US"/>
        </w:rPr>
        <w:t>Figure 8. End-to-end questionnaire sending lifecycle.</w:t>
      </w:r>
    </w:p>
    <w:p>
      <w:pPr>
        <w:pStyle w:val="Heading2"/>
        <w:keepNext w:val="1"/>
      </w:pPr>
      <w:r>
        <w:rPr>
          <w:b/>
          <w:i w:val="0"/>
          <w:color w:val="5B2E91"/>
          <w:lang w:val="en-US"/>
        </w:rPr>
        <w:t>Build the audience</w:t>
      </w:r>
    </w:p>
    <w:p>
      <w:pPr>
        <w:pStyle w:val="ListBullet"/>
        <w:spacing w:after="40"/>
      </w:pPr>
      <w:r>
        <w:rPr>
          <w:b w:val="0"/>
          <w:i w:val="0"/>
          <w:lang w:val="en-US"/>
        </w:rPr>
        <w:t>Select mailing lists, individual recipients, or both.</w:t>
      </w:r>
    </w:p>
    <w:p>
      <w:pPr>
        <w:pStyle w:val="ListBullet"/>
        <w:spacing w:after="40"/>
      </w:pPr>
      <w:r>
        <w:rPr>
          <w:b w:val="0"/>
          <w:i w:val="0"/>
          <w:lang w:val="en-US"/>
        </w:rPr>
        <w:t>Select categories and choose Match any or Match all.</w:t>
      </w:r>
    </w:p>
    <w:p>
      <w:pPr>
        <w:pStyle w:val="ListBullet"/>
        <w:spacing w:after="40"/>
      </w:pPr>
      <w:r>
        <w:rPr>
          <w:b w:val="0"/>
          <w:i w:val="0"/>
          <w:lang w:val="en-US"/>
        </w:rPr>
        <w:t>Add custom-field filters; every filter row must match.</w:t>
      </w:r>
    </w:p>
    <w:p>
      <w:pPr>
        <w:pStyle w:val="ListBullet"/>
        <w:spacing w:after="40"/>
      </w:pPr>
      <w:r>
        <w:rPr>
          <w:b w:val="0"/>
          <w:i w:val="0"/>
          <w:lang w:val="en-US"/>
        </w:rPr>
        <w:t>Preview the audience count before creating the sending.</w:t>
      </w:r>
    </w:p>
    <w:p>
      <w:pPr>
        <w:pStyle w:val="Heading2"/>
        <w:keepNext w:val="1"/>
      </w:pPr>
      <w:r>
        <w:rPr>
          <w:b/>
          <w:i w:val="0"/>
          <w:color w:val="5B2E91"/>
          <w:lang w:val="en-US"/>
        </w:rPr>
        <w:t>Create, schedule, and repeat</w:t>
      </w:r>
    </w:p>
    <w:p>
      <w:pPr>
        <w:numPr>
          <w:ilvl w:val="0"/>
          <w:numId w:val="10"/>
        </w:numPr>
        <w:spacing w:after="60"/>
        <w:keepLines w:val="1"/>
      </w:pPr>
      <w:r>
        <w:rPr>
          <w:b w:val="0"/>
          <w:i w:val="0"/>
          <w:lang w:val="en-US"/>
        </w:rPr>
        <w:t>Enter a sending name and select the questionnaire.</w:t>
      </w:r>
    </w:p>
    <w:p>
      <w:pPr>
        <w:numPr>
          <w:ilvl w:val="0"/>
          <w:numId w:val="10"/>
        </w:numPr>
        <w:spacing w:after="60"/>
        <w:keepLines w:val="1"/>
      </w:pPr>
      <w:r>
        <w:rPr>
          <w:b w:val="0"/>
          <w:i w:val="0"/>
          <w:lang w:val="en-US"/>
        </w:rPr>
        <w:t>Optionally set schedule and expiry in UTC.</w:t>
      </w:r>
    </w:p>
    <w:p>
      <w:pPr>
        <w:numPr>
          <w:ilvl w:val="0"/>
          <w:numId w:val="10"/>
        </w:numPr>
        <w:spacing w:after="60"/>
        <w:keepLines w:val="1"/>
      </w:pPr>
      <w:r>
        <w:rPr>
          <w:b w:val="0"/>
          <w:i w:val="0"/>
          <w:lang w:val="en-US"/>
        </w:rPr>
        <w:t>Choose the audience and preview its count.</w:t>
      </w:r>
    </w:p>
    <w:p>
      <w:pPr>
        <w:numPr>
          <w:ilvl w:val="0"/>
          <w:numId w:val="10"/>
        </w:numPr>
        <w:spacing w:after="60"/>
        <w:keepLines w:val="1"/>
      </w:pPr>
      <w:r>
        <w:rPr>
          <w:b w:val="0"/>
          <w:i w:val="0"/>
          <w:lang w:val="en-US"/>
        </w:rPr>
        <w:t>Create the sending. The definition snapshot is now immutable for that campaign.</w:t>
      </w:r>
    </w:p>
    <w:p>
      <w:pPr>
        <w:numPr>
          <w:ilvl w:val="0"/>
          <w:numId w:val="10"/>
        </w:numPr>
        <w:spacing w:after="60"/>
        <w:keepLines w:val="1"/>
      </w:pPr>
      <w:r>
        <w:rPr>
          <w:b w:val="0"/>
          <w:i w:val="0"/>
          <w:lang w:val="en-US"/>
        </w:rPr>
        <w:t>Dispatch now or allow the scheduled worker to activate it.</w:t>
      </w:r>
    </w:p>
    <w:p>
      <w:pPr>
        <w:numPr>
          <w:ilvl w:val="0"/>
          <w:numId w:val="10"/>
        </w:numPr>
        <w:spacing w:after="60"/>
        <w:keepLines w:val="1"/>
      </w:pPr>
      <w:r>
        <w:rPr>
          <w:b w:val="0"/>
          <w:i w:val="0"/>
          <w:lang w:val="en-US"/>
        </w:rPr>
        <w:t>Use Remind incomplete for eligible recipients; the service enforces at most three reminders per recipient.</w:t>
      </w:r>
    </w:p>
    <w:p>
      <w:pPr>
        <w:numPr>
          <w:ilvl w:val="0"/>
          <w:numId w:val="10"/>
        </w:numPr>
        <w:spacing w:after="60"/>
        <w:keepLines w:val="1"/>
      </w:pPr>
      <w:r>
        <w:rPr>
          <w:b w:val="0"/>
          <w:i w:val="0"/>
          <w:lang w:val="en-US"/>
        </w:rPr>
        <w:t>Pause, resume, cancel, or close as operations require.</w:t>
      </w:r>
    </w:p>
    <w:p>
      <w:pPr>
        <w:numPr>
          <w:ilvl w:val="0"/>
          <w:numId w:val="10"/>
        </w:numPr>
        <w:spacing w:after="60"/>
        <w:keepLines w:val="1"/>
      </w:pPr>
      <w:r>
        <w:rPr>
          <w:b w:val="0"/>
          <w:i w:val="0"/>
          <w:lang w:val="en-US"/>
        </w:rPr>
        <w:t>For the next measurement point, create a new sending from the same questionnaire. The sending limit counts first dispatches, not questionnaire definitions.</w:t>
      </w:r>
    </w:p>
    <w:p>
      <w:pPr>
        <w:spacing w:before="80" w:after="0"/>
        <w:jc w:val="center"/>
      </w:pPr>
      <w:r>
        <w:drawing>
          <wp:inline xmlns:a="http://schemas.openxmlformats.org/drawingml/2006/main" xmlns:pic="http://schemas.openxmlformats.org/drawingml/2006/picture">
            <wp:extent cx="6093608" cy="6768000"/>
            <wp:docPr id="10" name="Picture 10" descr="Create sending panel with lists, categories, recipients, filters, and two repeat campaigns." title="Create sending panel with lists, categories, recipients, filters, and two repeat campaigns."/>
            <wp:cNvGraphicFramePr>
              <a:graphicFrameLocks noChangeAspect="1"/>
            </wp:cNvGraphicFramePr>
            <a:graphic>
              <a:graphicData uri="http://schemas.openxmlformats.org/drawingml/2006/picture">
                <pic:pic>
                  <pic:nvPicPr>
                    <pic:cNvPr id="0" name="sending-create.png"/>
                    <pic:cNvPicPr/>
                  </pic:nvPicPr>
                  <pic:blipFill>
                    <a:blip r:embed="rId19"/>
                    <a:stretch>
                      <a:fillRect/>
                    </a:stretch>
                  </pic:blipFill>
                  <pic:spPr>
                    <a:xfrm>
                      <a:off x="0" y="0"/>
                      <a:ext cx="6093608" cy="6768000"/>
                    </a:xfrm>
                    <a:prstGeom prst="rect"/>
                  </pic:spPr>
                </pic:pic>
              </a:graphicData>
            </a:graphic>
          </wp:inline>
        </w:drawing>
      </w:r>
    </w:p>
    <w:p>
      <w:pPr>
        <w:pStyle w:val="RQCaption"/>
      </w:pPr>
      <w:r>
        <w:rPr>
          <w:b w:val="0"/>
          <w:i/>
          <w:color w:val="66707C"/>
          <w:sz w:val="15"/>
          <w:lang w:val="en-US"/>
        </w:rPr>
        <w:t>Figure 9. A new sending combines questionnaire, schedule, reusable audiences, direct recipients, and typed filters.</w:t>
      </w:r>
    </w:p>
    <w:p>
      <w:pPr>
        <w:pStyle w:val="Heading2"/>
        <w:keepNext w:val="1"/>
      </w:pPr>
      <w:r>
        <w:rPr>
          <w:b/>
          <w:i w:val="0"/>
          <w:color w:val="5B2E91"/>
          <w:lang w:val="en-US"/>
        </w:rPr>
        <w:t>Sending states</w:t>
      </w:r>
    </w:p>
    <w:tbl>
      <w:tblPr>
        <w:tblW w:type="dxa" w:w="9892"/>
        <w:jc w:val="center"/>
        <w:tblLayout w:type="fixed"/>
        <w:tblLook w:firstColumn="1" w:firstRow="1" w:lastColumn="0" w:lastRow="0" w:noHBand="0" w:noVBand="1" w:val="04A0"/>
        <w:tblInd w:w="120" w:type="dxa"/>
      </w:tblPr>
      <w:tblGrid>
        <w:gridCol w:w="1814"/>
        <w:gridCol w:w="8078"/>
      </w:tblGrid>
      <w:tr>
        <w:trPr>
          <w:tblHeader w:val="true"/>
          <w:cantSplit w:val="true"/>
        </w:trPr>
        <w:tc>
          <w:tcPr>
            <w:tcW w:type="dxa" w:w="1814"/>
            <w:shd w:fill="11161E"/>
            <w:tcMar>
              <w:top w:w="110" w:type="dxa"/>
              <w:start w:w="120" w:type="dxa"/>
              <w:bottom w:w="110" w:type="dxa"/>
              <w:end w:w="120" w:type="dxa"/>
            </w:tcMar>
            <w:vAlign w:val="center"/>
          </w:tcPr>
          <w:p>
            <w:pPr>
              <w:spacing w:after="0"/>
            </w:pPr>
            <w:r>
              <w:rPr>
                <w:b/>
                <w:color w:val="FFFFFF"/>
                <w:sz w:val="16"/>
              </w:rPr>
              <w:t>State</w:t>
            </w:r>
          </w:p>
        </w:tc>
        <w:tc>
          <w:tcPr>
            <w:tcW w:type="dxa" w:w="8078"/>
            <w:shd w:fill="11161E"/>
            <w:tcMar>
              <w:top w:w="110" w:type="dxa"/>
              <w:start w:w="120" w:type="dxa"/>
              <w:bottom w:w="110" w:type="dxa"/>
              <w:end w:w="120" w:type="dxa"/>
            </w:tcMar>
            <w:vAlign w:val="center"/>
          </w:tcPr>
          <w:p>
            <w:pPr>
              <w:spacing w:after="0"/>
            </w:pPr>
            <w:r>
              <w:rPr>
                <w:b/>
                <w:color w:val="FFFFFF"/>
                <w:sz w:val="16"/>
              </w:rPr>
              <w:t>Meaning and next actions</w:t>
            </w:r>
          </w:p>
        </w:tc>
      </w:tr>
      <w:tr>
        <w:trPr>
          <w:cantSplit w:val="true"/>
        </w:trPr>
        <w:tc>
          <w:tcPr>
            <w:tcW w:type="dxa" w:w="1814"/>
            <w:tcMar>
              <w:top w:w="110" w:type="dxa"/>
              <w:start w:w="120" w:type="dxa"/>
              <w:bottom w:w="110" w:type="dxa"/>
              <w:end w:w="120" w:type="dxa"/>
            </w:tcMar>
            <w:vAlign w:val="top"/>
          </w:tcPr>
          <w:p>
            <w:pPr>
              <w:spacing w:after="0"/>
            </w:pPr>
            <w:r>
              <w:rPr>
                <w:color w:val="252B33"/>
                <w:sz w:val="16"/>
              </w:rPr>
              <w:t>Draft</w:t>
            </w:r>
          </w:p>
        </w:tc>
        <w:tc>
          <w:tcPr>
            <w:tcW w:type="dxa" w:w="8078"/>
            <w:tcMar>
              <w:top w:w="110" w:type="dxa"/>
              <w:start w:w="120" w:type="dxa"/>
              <w:bottom w:w="110" w:type="dxa"/>
              <w:end w:w="120" w:type="dxa"/>
            </w:tcMar>
            <w:vAlign w:val="top"/>
          </w:tcPr>
          <w:p>
            <w:pPr>
              <w:spacing w:after="0"/>
            </w:pPr>
            <w:r>
              <w:rPr>
                <w:color w:val="252B33"/>
                <w:sz w:val="16"/>
              </w:rPr>
              <w:t>Created but not dispatched; can be dispatched or cancelled.</w:t>
            </w:r>
          </w:p>
        </w:tc>
      </w:tr>
      <w:tr>
        <w:trPr>
          <w:cantSplit w:val="true"/>
        </w:trPr>
        <w:tc>
          <w:tcPr>
            <w:tcW w:type="dxa" w:w="1814"/>
            <w:tcMar>
              <w:top w:w="110" w:type="dxa"/>
              <w:start w:w="120" w:type="dxa"/>
              <w:bottom w:w="110" w:type="dxa"/>
              <w:end w:w="120" w:type="dxa"/>
            </w:tcMar>
            <w:shd w:fill="F4F5F7"/>
            <w:vAlign w:val="top"/>
          </w:tcPr>
          <w:p>
            <w:pPr>
              <w:spacing w:after="0"/>
            </w:pPr>
            <w:r>
              <w:rPr>
                <w:color w:val="252B33"/>
                <w:sz w:val="16"/>
              </w:rPr>
              <w:t>Scheduled</w:t>
            </w:r>
          </w:p>
        </w:tc>
        <w:tc>
          <w:tcPr>
            <w:tcW w:type="dxa" w:w="8078"/>
            <w:tcMar>
              <w:top w:w="110" w:type="dxa"/>
              <w:start w:w="120" w:type="dxa"/>
              <w:bottom w:w="110" w:type="dxa"/>
              <w:end w:w="120" w:type="dxa"/>
            </w:tcMar>
            <w:shd w:fill="F4F5F7"/>
            <w:vAlign w:val="top"/>
          </w:tcPr>
          <w:p>
            <w:pPr>
              <w:spacing w:after="0"/>
            </w:pPr>
            <w:r>
              <w:rPr>
                <w:color w:val="252B33"/>
                <w:sz w:val="16"/>
              </w:rPr>
              <w:t>Waiting for ScheduledUtc; can still be dispatched manually or cancelled.</w:t>
            </w:r>
          </w:p>
        </w:tc>
      </w:tr>
      <w:tr>
        <w:trPr>
          <w:cantSplit w:val="true"/>
        </w:trPr>
        <w:tc>
          <w:tcPr>
            <w:tcW w:type="dxa" w:w="1814"/>
            <w:tcMar>
              <w:top w:w="110" w:type="dxa"/>
              <w:start w:w="120" w:type="dxa"/>
              <w:bottom w:w="110" w:type="dxa"/>
              <w:end w:w="120" w:type="dxa"/>
            </w:tcMar>
            <w:vAlign w:val="top"/>
          </w:tcPr>
          <w:p>
            <w:pPr>
              <w:spacing w:after="0"/>
            </w:pPr>
            <w:r>
              <w:rPr>
                <w:color w:val="252B33"/>
                <w:sz w:val="16"/>
              </w:rPr>
              <w:t>Dispatching</w:t>
            </w:r>
          </w:p>
        </w:tc>
        <w:tc>
          <w:tcPr>
            <w:tcW w:type="dxa" w:w="8078"/>
            <w:tcMar>
              <w:top w:w="110" w:type="dxa"/>
              <w:start w:w="120" w:type="dxa"/>
              <w:bottom w:w="110" w:type="dxa"/>
              <w:end w:w="120" w:type="dxa"/>
            </w:tcMar>
            <w:vAlign w:val="top"/>
          </w:tcPr>
          <w:p>
            <w:pPr>
              <w:spacing w:after="0"/>
            </w:pPr>
            <w:r>
              <w:rPr>
                <w:color w:val="252B33"/>
                <w:sz w:val="16"/>
              </w:rPr>
              <w:t>Delivery is being queued.</w:t>
            </w:r>
          </w:p>
        </w:tc>
      </w:tr>
      <w:tr>
        <w:trPr>
          <w:cantSplit w:val="true"/>
        </w:trPr>
        <w:tc>
          <w:tcPr>
            <w:tcW w:type="dxa" w:w="1814"/>
            <w:tcMar>
              <w:top w:w="110" w:type="dxa"/>
              <w:start w:w="120" w:type="dxa"/>
              <w:bottom w:w="110" w:type="dxa"/>
              <w:end w:w="120" w:type="dxa"/>
            </w:tcMar>
            <w:shd w:fill="F4F5F7"/>
            <w:vAlign w:val="top"/>
          </w:tcPr>
          <w:p>
            <w:pPr>
              <w:spacing w:after="0"/>
            </w:pPr>
            <w:r>
              <w:rPr>
                <w:color w:val="252B33"/>
                <w:sz w:val="16"/>
              </w:rPr>
              <w:t>Active</w:t>
            </w:r>
          </w:p>
        </w:tc>
        <w:tc>
          <w:tcPr>
            <w:tcW w:type="dxa" w:w="8078"/>
            <w:tcMar>
              <w:top w:w="110" w:type="dxa"/>
              <w:start w:w="120" w:type="dxa"/>
              <w:bottom w:w="110" w:type="dxa"/>
              <w:end w:w="120" w:type="dxa"/>
            </w:tcMar>
            <w:shd w:fill="F4F5F7"/>
            <w:vAlign w:val="top"/>
          </w:tcPr>
          <w:p>
            <w:pPr>
              <w:spacing w:after="0"/>
            </w:pPr>
            <w:r>
              <w:rPr>
                <w:color w:val="252B33"/>
                <w:sz w:val="16"/>
              </w:rPr>
              <w:t>Recipients can respond; reminders, pause, or cancel are available.</w:t>
            </w:r>
          </w:p>
        </w:tc>
      </w:tr>
      <w:tr>
        <w:trPr>
          <w:cantSplit w:val="true"/>
        </w:trPr>
        <w:tc>
          <w:tcPr>
            <w:tcW w:type="dxa" w:w="1814"/>
            <w:tcMar>
              <w:top w:w="110" w:type="dxa"/>
              <w:start w:w="120" w:type="dxa"/>
              <w:bottom w:w="110" w:type="dxa"/>
              <w:end w:w="120" w:type="dxa"/>
            </w:tcMar>
            <w:vAlign w:val="top"/>
          </w:tcPr>
          <w:p>
            <w:pPr>
              <w:spacing w:after="0"/>
            </w:pPr>
            <w:r>
              <w:rPr>
                <w:color w:val="252B33"/>
                <w:sz w:val="16"/>
              </w:rPr>
              <w:t>Paused</w:t>
            </w:r>
          </w:p>
        </w:tc>
        <w:tc>
          <w:tcPr>
            <w:tcW w:type="dxa" w:w="8078"/>
            <w:tcMar>
              <w:top w:w="110" w:type="dxa"/>
              <w:start w:w="120" w:type="dxa"/>
              <w:bottom w:w="110" w:type="dxa"/>
              <w:end w:w="120" w:type="dxa"/>
            </w:tcMar>
            <w:vAlign w:val="top"/>
          </w:tcPr>
          <w:p>
            <w:pPr>
              <w:spacing w:after="0"/>
            </w:pPr>
            <w:r>
              <w:rPr>
                <w:color w:val="252B33"/>
                <w:sz w:val="16"/>
              </w:rPr>
              <w:t>Temporarily stopped; resume or cancel.</w:t>
            </w:r>
          </w:p>
        </w:tc>
      </w:tr>
      <w:tr>
        <w:trPr>
          <w:cantSplit w:val="true"/>
        </w:trPr>
        <w:tc>
          <w:tcPr>
            <w:tcW w:type="dxa" w:w="1814"/>
            <w:tcMar>
              <w:top w:w="110" w:type="dxa"/>
              <w:start w:w="120" w:type="dxa"/>
              <w:bottom w:w="110" w:type="dxa"/>
              <w:end w:w="120" w:type="dxa"/>
            </w:tcMar>
            <w:shd w:fill="F4F5F7"/>
            <w:vAlign w:val="top"/>
          </w:tcPr>
          <w:p>
            <w:pPr>
              <w:spacing w:after="0"/>
            </w:pPr>
            <w:r>
              <w:rPr>
                <w:color w:val="252B33"/>
                <w:sz w:val="16"/>
              </w:rPr>
              <w:t>Cancelled</w:t>
            </w:r>
          </w:p>
        </w:tc>
        <w:tc>
          <w:tcPr>
            <w:tcW w:type="dxa" w:w="8078"/>
            <w:tcMar>
              <w:top w:w="110" w:type="dxa"/>
              <w:start w:w="120" w:type="dxa"/>
              <w:bottom w:w="110" w:type="dxa"/>
              <w:end w:w="120" w:type="dxa"/>
            </w:tcMar>
            <w:shd w:fill="F4F5F7"/>
            <w:vAlign w:val="top"/>
          </w:tcPr>
          <w:p>
            <w:pPr>
              <w:spacing w:after="0"/>
            </w:pPr>
            <w:r>
              <w:rPr>
                <w:color w:val="252B33"/>
                <w:sz w:val="16"/>
              </w:rPr>
              <w:t>No further operation; active invitation access is revoked.</w:t>
            </w:r>
          </w:p>
        </w:tc>
      </w:tr>
      <w:tr>
        <w:trPr>
          <w:cantSplit w:val="true"/>
        </w:trPr>
        <w:tc>
          <w:tcPr>
            <w:tcW w:type="dxa" w:w="1814"/>
            <w:tcMar>
              <w:top w:w="110" w:type="dxa"/>
              <w:start w:w="120" w:type="dxa"/>
              <w:bottom w:w="110" w:type="dxa"/>
              <w:end w:w="120" w:type="dxa"/>
            </w:tcMar>
            <w:vAlign w:val="top"/>
          </w:tcPr>
          <w:p>
            <w:pPr>
              <w:spacing w:after="0"/>
            </w:pPr>
            <w:r>
              <w:rPr>
                <w:color w:val="252B33"/>
                <w:sz w:val="16"/>
              </w:rPr>
              <w:t>Closed</w:t>
            </w:r>
          </w:p>
        </w:tc>
        <w:tc>
          <w:tcPr>
            <w:tcW w:type="dxa" w:w="8078"/>
            <w:tcMar>
              <w:top w:w="110" w:type="dxa"/>
              <w:start w:w="120" w:type="dxa"/>
              <w:bottom w:w="110" w:type="dxa"/>
              <w:end w:w="120" w:type="dxa"/>
            </w:tcMar>
            <w:vAlign w:val="top"/>
          </w:tcPr>
          <w:p>
            <w:pPr>
              <w:spacing w:after="0"/>
            </w:pPr>
            <w:r>
              <w:rPr>
                <w:color w:val="252B33"/>
                <w:sz w:val="16"/>
              </w:rPr>
              <w:t>Completed operationally; preserved for results and audit history.</w:t>
            </w:r>
          </w:p>
        </w:tc>
      </w:tr>
    </w:tbl>
    <w:p>
      <w:pPr>
        <w:spacing w:after="20"/>
      </w:pPr>
    </w:p>
    <w:p>
      <w:pPr>
        <w:pStyle w:val="RQEyebrow"/>
      </w:pPr>
      <w:r>
        <w:rPr>
          <w:b/>
          <w:i w:val="0"/>
          <w:color w:val="FF7A1A"/>
          <w:lang w:val="en-US"/>
        </w:rPr>
        <w:t>06 · COMPLETE THE QUESTIONNAIRE</w:t>
      </w:r>
    </w:p>
    <w:p>
      <w:pPr>
        <w:pStyle w:val="Heading1"/>
        <w:pBdr>
          <w:bottom w:val="single" w:sz="16" w:space="5" w:color="FF7A1A"/>
        </w:pBdr>
        <w:keepNext w:val="1"/>
      </w:pPr>
      <w:r>
        <w:rPr>
          <w:b/>
          <w:i w:val="0"/>
          <w:color w:val="11161E"/>
          <w:lang w:val="en-US"/>
        </w:rPr>
        <w:t>Recipient experience</w:t>
      </w:r>
    </w:p>
    <w:p>
      <w:pPr>
        <w:pStyle w:val="RQLead"/>
      </w:pPr>
      <w:r>
        <w:rPr>
          <w:b w:val="0"/>
          <w:i w:val="0"/>
          <w:lang w:val="en-US"/>
        </w:rPr>
        <w:t>The emailed full link already contains the tenant, sending, recipient, questionnaire, and recognition context. Clicking it is enough. A six-character code is needed only when a recipient must type access manually.</w:t>
      </w:r>
    </w:p>
    <w:p>
      <w:pPr>
        <w:pStyle w:val="Heading2"/>
        <w:keepNext w:val="1"/>
      </w:pPr>
      <w:r>
        <w:rPr>
          <w:b/>
          <w:i w:val="0"/>
          <w:color w:val="5B2E91"/>
          <w:lang w:val="en-US"/>
        </w:rPr>
        <w:t>Open and continue</w:t>
      </w:r>
    </w:p>
    <w:p>
      <w:pPr>
        <w:pStyle w:val="ListBullet"/>
        <w:spacing w:after="40"/>
      </w:pPr>
      <w:r>
        <w:rPr>
          <w:b w:val="0"/>
          <w:i w:val="0"/>
          <w:lang w:val="en-US"/>
        </w:rPr>
        <w:t>In invitation-code mode, the full link opens the assigned questionnaire directly.</w:t>
      </w:r>
    </w:p>
    <w:p>
      <w:pPr>
        <w:pStyle w:val="ListBullet"/>
        <w:spacing w:after="40"/>
      </w:pPr>
      <w:r>
        <w:rPr>
          <w:b w:val="0"/>
          <w:i w:val="0"/>
          <w:lang w:val="en-US"/>
        </w:rPr>
        <w:t>In email-password mode, the link opens the assignment and requests sign-in only when the recipient session is missing.</w:t>
      </w:r>
    </w:p>
    <w:p>
      <w:pPr>
        <w:pStyle w:val="ListBullet"/>
        <w:spacing w:after="40"/>
      </w:pPr>
      <w:r>
        <w:rPr>
          <w:b w:val="0"/>
          <w:i w:val="0"/>
          <w:lang w:val="en-US"/>
        </w:rPr>
        <w:t>The tenant page lists active assignments for recipient accounts.</w:t>
      </w:r>
    </w:p>
    <w:p>
      <w:pPr>
        <w:pStyle w:val="ListBullet"/>
        <w:spacing w:after="40"/>
      </w:pPr>
      <w:r>
        <w:rPr>
          <w:b w:val="0"/>
          <w:i w:val="0"/>
          <w:lang w:val="en-US"/>
        </w:rPr>
        <w:t>Answers autosave as controls change and again when the recipient advances pages.</w:t>
      </w:r>
    </w:p>
    <w:p>
      <w:pPr>
        <w:spacing w:before="80" w:after="0"/>
        <w:jc w:val="center"/>
      </w:pPr>
      <w:r>
        <w:drawing>
          <wp:inline xmlns:a="http://schemas.openxmlformats.org/drawingml/2006/main" xmlns:pic="http://schemas.openxmlformats.org/drawingml/2006/picture">
            <wp:extent cx="6192000" cy="5071076"/>
            <wp:docPr id="11" name="Picture 11" descr="Tenant-branded recipient questionnaire page one with existing draft answers." title="Tenant-branded recipient questionnaire page one with existing draft answers."/>
            <wp:cNvGraphicFramePr>
              <a:graphicFrameLocks noChangeAspect="1"/>
            </wp:cNvGraphicFramePr>
            <a:graphic>
              <a:graphicData uri="http://schemas.openxmlformats.org/drawingml/2006/picture">
                <pic:pic>
                  <pic:nvPicPr>
                    <pic:cNvPr id="0" name="recipient-survey.png"/>
                    <pic:cNvPicPr/>
                  </pic:nvPicPr>
                  <pic:blipFill>
                    <a:blip r:embed="rId20"/>
                    <a:stretch>
                      <a:fillRect/>
                    </a:stretch>
                  </pic:blipFill>
                  <pic:spPr>
                    <a:xfrm>
                      <a:off x="0" y="0"/>
                      <a:ext cx="6192000" cy="5071076"/>
                    </a:xfrm>
                    <a:prstGeom prst="rect"/>
                  </pic:spPr>
                </pic:pic>
              </a:graphicData>
            </a:graphic>
          </wp:inline>
        </w:drawing>
      </w:r>
    </w:p>
    <w:p>
      <w:pPr>
        <w:pStyle w:val="RQCaption"/>
      </w:pPr>
      <w:r>
        <w:rPr>
          <w:b w:val="0"/>
          <w:i/>
          <w:color w:val="66707C"/>
          <w:sz w:val="15"/>
          <w:lang w:val="en-US"/>
        </w:rPr>
        <w:t>Figure 10. The recipient sees tenant branding, progress, required indicators, hints, and the shared runner controls.</w:t>
      </w:r>
    </w:p>
    <w:p>
      <w:pPr>
        <w:pStyle w:val="Heading2"/>
        <w:keepNext w:val="1"/>
      </w:pPr>
      <w:r>
        <w:rPr>
          <w:b/>
          <w:i w:val="0"/>
          <w:color w:val="5B2E91"/>
          <w:lang w:val="en-US"/>
        </w:rPr>
        <w:t>Conditional questions and review</w:t>
      </w:r>
    </w:p>
    <w:p>
      <w:r>
        <w:rPr>
          <w:b w:val="0"/>
          <w:i w:val="0"/>
          <w:lang w:val="en-US"/>
        </w:rPr>
        <w:t>Visibility and enabled-state rules are evaluated from the answers already saved in the response. Hidden questions are explicitly recorded as hidden at submission, so analytics do not misclassify them as unanswered.</w:t>
      </w:r>
    </w:p>
    <w:p>
      <w:pPr>
        <w:spacing w:before="80" w:after="0"/>
        <w:jc w:val="center"/>
      </w:pPr>
      <w:r>
        <w:drawing>
          <wp:inline xmlns:a="http://schemas.openxmlformats.org/drawingml/2006/main" xmlns:pic="http://schemas.openxmlformats.org/drawingml/2006/picture">
            <wp:extent cx="5527282" cy="3311999"/>
            <wp:docPr id="12" name="Picture 12" descr="Conditional follow-up page asking permission and preferred contact channel." title="Conditional follow-up page asking permission and preferred contact channel."/>
            <wp:cNvGraphicFramePr>
              <a:graphicFrameLocks noChangeAspect="1"/>
            </wp:cNvGraphicFramePr>
            <a:graphic>
              <a:graphicData uri="http://schemas.openxmlformats.org/drawingml/2006/picture">
                <pic:pic>
                  <pic:nvPicPr>
                    <pic:cNvPr id="0" name="recipient-conditional.png"/>
                    <pic:cNvPicPr/>
                  </pic:nvPicPr>
                  <pic:blipFill>
                    <a:blip r:embed="rId21"/>
                    <a:stretch>
                      <a:fillRect/>
                    </a:stretch>
                  </pic:blipFill>
                  <pic:spPr>
                    <a:xfrm>
                      <a:off x="0" y="0"/>
                      <a:ext cx="5527282" cy="3311999"/>
                    </a:xfrm>
                    <a:prstGeom prst="rect"/>
                  </pic:spPr>
                </pic:pic>
              </a:graphicData>
            </a:graphic>
          </wp:inline>
        </w:drawing>
      </w:r>
    </w:p>
    <w:p>
      <w:pPr>
        <w:pStyle w:val="RQCaption"/>
      </w:pPr>
      <w:r>
        <w:rPr>
          <w:b w:val="0"/>
          <w:i/>
          <w:color w:val="66707C"/>
          <w:sz w:val="15"/>
          <w:lang w:val="en-US"/>
        </w:rPr>
        <w:t>Figure 11. Page two reveals the preferred-contact follow-up because the recipient answered Yes.</w:t>
      </w:r>
    </w:p>
    <w:p>
      <w:pPr>
        <w:spacing w:before="80" w:after="0"/>
        <w:jc w:val="center"/>
      </w:pPr>
      <w:r>
        <w:drawing>
          <wp:inline xmlns:a="http://schemas.openxmlformats.org/drawingml/2006/main" xmlns:pic="http://schemas.openxmlformats.org/drawingml/2006/picture">
            <wp:extent cx="6192000" cy="5389242"/>
            <wp:docPr id="13" name="Picture 13" descr="Review your answers page with all visible answers and submit button." title="Review your answers page with all visible answers and submit button."/>
            <wp:cNvGraphicFramePr>
              <a:graphicFrameLocks noChangeAspect="1"/>
            </wp:cNvGraphicFramePr>
            <a:graphic>
              <a:graphicData uri="http://schemas.openxmlformats.org/drawingml/2006/picture">
                <pic:pic>
                  <pic:nvPicPr>
                    <pic:cNvPr id="0" name="recipient-review.png"/>
                    <pic:cNvPicPr/>
                  </pic:nvPicPr>
                  <pic:blipFill>
                    <a:blip r:embed="rId22"/>
                    <a:stretch>
                      <a:fillRect/>
                    </a:stretch>
                  </pic:blipFill>
                  <pic:spPr>
                    <a:xfrm>
                      <a:off x="0" y="0"/>
                      <a:ext cx="6192000" cy="5389242"/>
                    </a:xfrm>
                    <a:prstGeom prst="rect"/>
                  </pic:spPr>
                </pic:pic>
              </a:graphicData>
            </a:graphic>
          </wp:inline>
        </w:drawing>
      </w:r>
    </w:p>
    <w:p>
      <w:pPr>
        <w:pStyle w:val="RQCaption"/>
      </w:pPr>
      <w:r>
        <w:rPr>
          <w:b w:val="0"/>
          <w:i/>
          <w:color w:val="66707C"/>
          <w:sz w:val="15"/>
          <w:lang w:val="en-US"/>
        </w:rPr>
        <w:t>Figure 12. Review gives the recipient one final, complete summary before submission locks the response.</w:t>
      </w:r>
    </w:p>
    <w:tbl>
      <w:tblPr>
        <w:tblW w:type="dxa" w:w="9900"/>
        <w:jc w:val="center"/>
        <w:tblLayout w:type="fixed"/>
        <w:tblLook w:firstColumn="1" w:firstRow="1" w:lastColumn="0" w:lastRow="0" w:noHBand="0" w:noVBand="1" w:val="04A0"/>
        <w:tblInd w:w="180" w:type="dxa"/>
      </w:tblPr>
      <w:tblGrid>
        <w:gridCol w:w="9900"/>
      </w:tblGrid>
      <w:tr>
        <w:trPr>
          <w:cantSplit w:val="true"/>
        </w:trPr>
        <w:tc>
          <w:tcPr>
            <w:tcW w:type="dxa" w:w="9900"/>
            <w:shd w:fill="FFF3E8"/>
            <w:tcMar>
              <w:top w:w="140" w:type="dxa"/>
              <w:start w:w="180" w:type="dxa"/>
              <w:bottom w:w="140" w:type="dxa"/>
              <w:end w:w="180" w:type="dxa"/>
            </w:tcMar>
          </w:tcPr>
          <w:p>
            <w:pPr>
              <w:spacing w:after="40"/>
            </w:pPr>
            <w:r>
              <w:rPr>
                <w:b/>
                <w:i w:val="0"/>
                <w:color w:val="FF7A1A"/>
                <w:lang w:val="en-US"/>
              </w:rPr>
              <w:t xml:space="preserve">Submission is final  </w:t>
            </w:r>
            <w:r>
              <w:rPr>
                <w:b w:val="0"/>
                <w:i w:val="0"/>
                <w:lang w:val="en-US"/>
              </w:rPr>
              <w:t>After submission, the response is locked. Only an authorized manager can reopen an identified response, and that action is written to the audit log.</w:t>
            </w:r>
          </w:p>
        </w:tc>
      </w:tr>
    </w:tbl>
    <w:p>
      <w:pPr>
        <w:spacing w:after="0"/>
      </w:pPr>
    </w:p>
    <w:p>
      <w:pPr>
        <w:pStyle w:val="RQEyebrow"/>
      </w:pPr>
      <w:r>
        <w:rPr>
          <w:b/>
          <w:i w:val="0"/>
          <w:color w:val="FF7A1A"/>
          <w:lang w:val="en-US"/>
        </w:rPr>
        <w:t>07 · RESULTS</w:t>
      </w:r>
    </w:p>
    <w:p>
      <w:pPr>
        <w:pStyle w:val="Heading1"/>
        <w:pBdr>
          <w:bottom w:val="single" w:sz="16" w:space="5" w:color="FF7A1A"/>
        </w:pBdr>
        <w:keepNext w:val="1"/>
      </w:pPr>
      <w:r>
        <w:rPr>
          <w:b/>
          <w:i w:val="0"/>
          <w:color w:val="11161E"/>
          <w:lang w:val="en-US"/>
        </w:rPr>
        <w:t>Read fair analytics</w:t>
      </w:r>
    </w:p>
    <w:p>
      <w:pPr>
        <w:pStyle w:val="RQLead"/>
      </w:pPr>
      <w:r>
        <w:rPr>
          <w:b w:val="0"/>
          <w:i w:val="0"/>
          <w:lang w:val="en-US"/>
        </w:rPr>
        <w:t>Analytics are calculated per question from submitted responses and the sending snapshot — not from the questionnaire as it looks today.</w:t>
      </w:r>
    </w:p>
    <w:p>
      <w:pPr>
        <w:pStyle w:val="Heading2"/>
        <w:keepNext w:val="1"/>
      </w:pPr>
      <w:r>
        <w:rPr>
          <w:b/>
          <w:i w:val="0"/>
          <w:color w:val="5B2E91"/>
          <w:lang w:val="en-US"/>
        </w:rPr>
        <w:t>Four denominators to read first</w:t>
      </w:r>
    </w:p>
    <w:tbl>
      <w:tblPr>
        <w:tblW w:type="dxa" w:w="9892"/>
        <w:jc w:val="center"/>
        <w:tblLayout w:type="fixed"/>
        <w:tblLook w:firstColumn="1" w:firstRow="1" w:lastColumn="0" w:lastRow="0" w:noHBand="0" w:noVBand="1" w:val="04A0"/>
        <w:tblInd w:w="120" w:type="dxa"/>
      </w:tblPr>
      <w:tblGrid>
        <w:gridCol w:w="1927"/>
        <w:gridCol w:w="7965"/>
      </w:tblGrid>
      <w:tr>
        <w:trPr>
          <w:tblHeader w:val="true"/>
          <w:cantSplit w:val="true"/>
        </w:trPr>
        <w:tc>
          <w:tcPr>
            <w:tcW w:type="dxa" w:w="1927"/>
            <w:shd w:fill="11161E"/>
            <w:tcMar>
              <w:top w:w="110" w:type="dxa"/>
              <w:start w:w="120" w:type="dxa"/>
              <w:bottom w:w="110" w:type="dxa"/>
              <w:end w:w="120" w:type="dxa"/>
            </w:tcMar>
            <w:vAlign w:val="center"/>
          </w:tcPr>
          <w:p>
            <w:pPr>
              <w:spacing w:after="0"/>
            </w:pPr>
            <w:r>
              <w:rPr>
                <w:b/>
                <w:color w:val="FFFFFF"/>
                <w:sz w:val="16"/>
              </w:rPr>
              <w:t>Metric</w:t>
            </w:r>
          </w:p>
        </w:tc>
        <w:tc>
          <w:tcPr>
            <w:tcW w:type="dxa" w:w="7965"/>
            <w:shd w:fill="11161E"/>
            <w:tcMar>
              <w:top w:w="110" w:type="dxa"/>
              <w:start w:w="120" w:type="dxa"/>
              <w:bottom w:w="110" w:type="dxa"/>
              <w:end w:w="120" w:type="dxa"/>
            </w:tcMar>
            <w:vAlign w:val="center"/>
          </w:tcPr>
          <w:p>
            <w:pPr>
              <w:spacing w:after="0"/>
            </w:pPr>
            <w:r>
              <w:rPr>
                <w:b/>
                <w:color w:val="FFFFFF"/>
                <w:sz w:val="16"/>
              </w:rPr>
              <w:t>Definition</w:t>
            </w:r>
          </w:p>
        </w:tc>
      </w:tr>
      <w:tr>
        <w:trPr>
          <w:cantSplit w:val="true"/>
        </w:trPr>
        <w:tc>
          <w:tcPr>
            <w:tcW w:type="dxa" w:w="1927"/>
            <w:tcMar>
              <w:top w:w="110" w:type="dxa"/>
              <w:start w:w="120" w:type="dxa"/>
              <w:bottom w:w="110" w:type="dxa"/>
              <w:end w:w="120" w:type="dxa"/>
            </w:tcMar>
            <w:vAlign w:val="top"/>
          </w:tcPr>
          <w:p>
            <w:pPr>
              <w:spacing w:after="0"/>
            </w:pPr>
            <w:r>
              <w:rPr>
                <w:color w:val="252B33"/>
                <w:sz w:val="16"/>
              </w:rPr>
              <w:t>Eligible</w:t>
            </w:r>
          </w:p>
        </w:tc>
        <w:tc>
          <w:tcPr>
            <w:tcW w:type="dxa" w:w="7965"/>
            <w:tcMar>
              <w:top w:w="110" w:type="dxa"/>
              <w:start w:w="120" w:type="dxa"/>
              <w:bottom w:w="110" w:type="dxa"/>
              <w:end w:w="120" w:type="dxa"/>
            </w:tcMar>
            <w:vAlign w:val="top"/>
          </w:tcPr>
          <w:p>
            <w:pPr>
              <w:spacing w:after="0"/>
            </w:pPr>
            <w:r>
              <w:rPr>
                <w:color w:val="252B33"/>
                <w:sz w:val="16"/>
              </w:rPr>
              <w:t>Submitted responses minus responses where the question was hidden.</w:t>
            </w:r>
          </w:p>
        </w:tc>
      </w:tr>
      <w:tr>
        <w:trPr>
          <w:cantSplit w:val="true"/>
        </w:trPr>
        <w:tc>
          <w:tcPr>
            <w:tcW w:type="dxa" w:w="1927"/>
            <w:tcMar>
              <w:top w:w="110" w:type="dxa"/>
              <w:start w:w="120" w:type="dxa"/>
              <w:bottom w:w="110" w:type="dxa"/>
              <w:end w:w="120" w:type="dxa"/>
            </w:tcMar>
            <w:shd w:fill="F4F5F7"/>
            <w:vAlign w:val="top"/>
          </w:tcPr>
          <w:p>
            <w:pPr>
              <w:spacing w:after="0"/>
            </w:pPr>
            <w:r>
              <w:rPr>
                <w:color w:val="252B33"/>
                <w:sz w:val="16"/>
              </w:rPr>
              <w:t>Answered</w:t>
            </w:r>
          </w:p>
        </w:tc>
        <w:tc>
          <w:tcPr>
            <w:tcW w:type="dxa" w:w="7965"/>
            <w:tcMar>
              <w:top w:w="110" w:type="dxa"/>
              <w:start w:w="120" w:type="dxa"/>
              <w:bottom w:w="110" w:type="dxa"/>
              <w:end w:w="120" w:type="dxa"/>
            </w:tcMar>
            <w:shd w:fill="F4F5F7"/>
            <w:vAlign w:val="top"/>
          </w:tcPr>
          <w:p>
            <w:pPr>
              <w:spacing w:after="0"/>
            </w:pPr>
            <w:r>
              <w:rPr>
                <w:color w:val="252B33"/>
                <w:sz w:val="16"/>
              </w:rPr>
              <w:t>Eligible responses containing a value.</w:t>
            </w:r>
          </w:p>
        </w:tc>
      </w:tr>
      <w:tr>
        <w:trPr>
          <w:cantSplit w:val="true"/>
        </w:trPr>
        <w:tc>
          <w:tcPr>
            <w:tcW w:type="dxa" w:w="1927"/>
            <w:tcMar>
              <w:top w:w="110" w:type="dxa"/>
              <w:start w:w="120" w:type="dxa"/>
              <w:bottom w:w="110" w:type="dxa"/>
              <w:end w:w="120" w:type="dxa"/>
            </w:tcMar>
            <w:vAlign w:val="top"/>
          </w:tcPr>
          <w:p>
            <w:pPr>
              <w:spacing w:after="0"/>
            </w:pPr>
            <w:r>
              <w:rPr>
                <w:color w:val="252B33"/>
                <w:sz w:val="16"/>
              </w:rPr>
              <w:t>Unanswered</w:t>
            </w:r>
          </w:p>
        </w:tc>
        <w:tc>
          <w:tcPr>
            <w:tcW w:type="dxa" w:w="7965"/>
            <w:tcMar>
              <w:top w:w="110" w:type="dxa"/>
              <w:start w:w="120" w:type="dxa"/>
              <w:bottom w:w="110" w:type="dxa"/>
              <w:end w:w="120" w:type="dxa"/>
            </w:tcMar>
            <w:vAlign w:val="top"/>
          </w:tcPr>
          <w:p>
            <w:pPr>
              <w:spacing w:after="0"/>
            </w:pPr>
            <w:r>
              <w:rPr>
                <w:color w:val="252B33"/>
                <w:sz w:val="16"/>
              </w:rPr>
              <w:t>Eligible responses without a value.</w:t>
            </w:r>
          </w:p>
        </w:tc>
      </w:tr>
      <w:tr>
        <w:trPr>
          <w:cantSplit w:val="true"/>
        </w:trPr>
        <w:tc>
          <w:tcPr>
            <w:tcW w:type="dxa" w:w="1927"/>
            <w:tcMar>
              <w:top w:w="110" w:type="dxa"/>
              <w:start w:w="120" w:type="dxa"/>
              <w:bottom w:w="110" w:type="dxa"/>
              <w:end w:w="120" w:type="dxa"/>
            </w:tcMar>
            <w:shd w:fill="F4F5F7"/>
            <w:vAlign w:val="top"/>
          </w:tcPr>
          <w:p>
            <w:pPr>
              <w:spacing w:after="0"/>
            </w:pPr>
            <w:r>
              <w:rPr>
                <w:color w:val="252B33"/>
                <w:sz w:val="16"/>
              </w:rPr>
              <w:t>Hidden</w:t>
            </w:r>
          </w:p>
        </w:tc>
        <w:tc>
          <w:tcPr>
            <w:tcW w:type="dxa" w:w="7965"/>
            <w:tcMar>
              <w:top w:w="110" w:type="dxa"/>
              <w:start w:w="120" w:type="dxa"/>
              <w:bottom w:w="110" w:type="dxa"/>
              <w:end w:w="120" w:type="dxa"/>
            </w:tcMar>
            <w:shd w:fill="F4F5F7"/>
            <w:vAlign w:val="top"/>
          </w:tcPr>
          <w:p>
            <w:pPr>
              <w:spacing w:after="0"/>
            </w:pPr>
            <w:r>
              <w:rPr>
                <w:color w:val="252B33"/>
                <w:sz w:val="16"/>
              </w:rPr>
              <w:t>Submitted responses where dependency rules hid the question.</w:t>
            </w:r>
          </w:p>
        </w:tc>
      </w:tr>
    </w:tbl>
    <w:p>
      <w:pPr>
        <w:spacing w:after="20"/>
      </w:pPr>
    </w:p>
    <w:p>
      <w:pPr>
        <w:pStyle w:val="Heading2"/>
        <w:keepNext w:val="1"/>
      </w:pPr>
      <w:r>
        <w:rPr>
          <w:b/>
          <w:i w:val="0"/>
          <w:color w:val="5B2E91"/>
          <w:lang w:val="en-US"/>
        </w:rPr>
        <w:t>Per-question summaries</w:t>
      </w:r>
    </w:p>
    <w:p>
      <w:pPr>
        <w:pStyle w:val="ListBullet"/>
        <w:spacing w:after="40"/>
      </w:pPr>
      <w:r>
        <w:rPr>
          <w:b w:val="0"/>
          <w:i w:val="0"/>
          <w:lang w:val="en-US"/>
        </w:rPr>
        <w:t>Choice questions show respondent counts and percentages per option.</w:t>
      </w:r>
    </w:p>
    <w:p>
      <w:pPr>
        <w:pStyle w:val="ListBullet"/>
        <w:spacing w:after="40"/>
      </w:pPr>
      <w:r>
        <w:rPr>
          <w:b w:val="0"/>
          <w:i w:val="0"/>
          <w:lang w:val="en-US"/>
        </w:rPr>
        <w:t>Numeric questions show mean, median, minimum–maximum, and first–third quartiles.</w:t>
      </w:r>
    </w:p>
    <w:p>
      <w:pPr>
        <w:pStyle w:val="ListBullet"/>
        <w:spacing w:after="40"/>
      </w:pPr>
      <w:r>
        <w:rPr>
          <w:b w:val="0"/>
          <w:i w:val="0"/>
          <w:lang w:val="en-US"/>
        </w:rPr>
        <w:t>Anonymous sendings remain suppressed below five submitted responses.</w:t>
      </w:r>
    </w:p>
    <w:p>
      <w:pPr>
        <w:pStyle w:val="ListBullet"/>
        <w:spacing w:after="40"/>
      </w:pPr>
      <w:r>
        <w:rPr>
          <w:b w:val="0"/>
          <w:i w:val="0"/>
          <w:lang w:val="en-US"/>
        </w:rPr>
        <w:t>Identified sendings show response owners and allow authorized reopening.</w:t>
      </w:r>
    </w:p>
    <w:p>
      <w:pPr>
        <w:pStyle w:val="ListBullet"/>
        <w:spacing w:after="40"/>
      </w:pPr>
      <w:r>
        <w:rPr>
          <w:b w:val="0"/>
          <w:i w:val="0"/>
          <w:lang w:val="en-US"/>
        </w:rPr>
        <w:t>CSV, filled-response PDF, blank questionnaire PDF, and QR invitation-letter PDF exports honor role checks.</w:t>
      </w:r>
    </w:p>
    <w:p>
      <w:pPr>
        <w:spacing w:before="80" w:after="0"/>
        <w:jc w:val="center"/>
      </w:pPr>
      <w:r>
        <w:drawing>
          <wp:inline xmlns:a="http://schemas.openxmlformats.org/drawingml/2006/main" xmlns:pic="http://schemas.openxmlformats.org/drawingml/2006/picture">
            <wp:extent cx="6192000" cy="5433296"/>
            <wp:docPr id="14" name="Picture 14" descr="Questionnaire analytics cards with choice distributions, numeric statistics, and hidden counts." title="Questionnaire analytics cards with choice distributions, numeric statistics, and hidden counts."/>
            <wp:cNvGraphicFramePr>
              <a:graphicFrameLocks noChangeAspect="1"/>
            </wp:cNvGraphicFramePr>
            <a:graphic>
              <a:graphicData uri="http://schemas.openxmlformats.org/drawingml/2006/picture">
                <pic:pic>
                  <pic:nvPicPr>
                    <pic:cNvPr id="0" name="analytics-top.png"/>
                    <pic:cNvPicPr/>
                  </pic:nvPicPr>
                  <pic:blipFill>
                    <a:blip r:embed="rId23"/>
                    <a:stretch>
                      <a:fillRect/>
                    </a:stretch>
                  </pic:blipFill>
                  <pic:spPr>
                    <a:xfrm>
                      <a:off x="0" y="0"/>
                      <a:ext cx="6192000" cy="5433296"/>
                    </a:xfrm>
                    <a:prstGeom prst="rect"/>
                  </pic:spPr>
                </pic:pic>
              </a:graphicData>
            </a:graphic>
          </wp:inline>
        </w:drawing>
      </w:r>
    </w:p>
    <w:p>
      <w:pPr>
        <w:pStyle w:val="RQCaption"/>
      </w:pPr>
      <w:r>
        <w:rPr>
          <w:b w:val="0"/>
          <w:i/>
          <w:color w:val="66707C"/>
          <w:sz w:val="15"/>
          <w:lang w:val="en-US"/>
        </w:rPr>
        <w:t>Figure 13. Question-level cards expose eligible, answered, unanswered, and hidden counts before any summary statistic.</w:t>
      </w:r>
    </w:p>
    <w:p>
      <w:pPr>
        <w:spacing w:before="80" w:after="0"/>
        <w:jc w:val="center"/>
      </w:pPr>
      <w:r>
        <w:drawing>
          <wp:inline xmlns:a="http://schemas.openxmlformats.org/drawingml/2006/main" xmlns:pic="http://schemas.openxmlformats.org/drawingml/2006/picture">
            <wp:extent cx="5517400" cy="4608000"/>
            <wp:docPr id="15" name="Picture 15" descr="Identified response list with submitted recipients and reopen buttons." title="Identified response list with submitted recipients and reopen buttons."/>
            <wp:cNvGraphicFramePr>
              <a:graphicFrameLocks noChangeAspect="1"/>
            </wp:cNvGraphicFramePr>
            <a:graphic>
              <a:graphicData uri="http://schemas.openxmlformats.org/drawingml/2006/picture">
                <pic:pic>
                  <pic:nvPicPr>
                    <pic:cNvPr id="0" name="analytics-responses.png"/>
                    <pic:cNvPicPr/>
                  </pic:nvPicPr>
                  <pic:blipFill>
                    <a:blip r:embed="rId24"/>
                    <a:stretch>
                      <a:fillRect/>
                    </a:stretch>
                  </pic:blipFill>
                  <pic:spPr>
                    <a:xfrm>
                      <a:off x="0" y="0"/>
                      <a:ext cx="5517400" cy="4608000"/>
                    </a:xfrm>
                    <a:prstGeom prst="rect"/>
                  </pic:spPr>
                </pic:pic>
              </a:graphicData>
            </a:graphic>
          </wp:inline>
        </w:drawing>
      </w:r>
    </w:p>
    <w:p>
      <w:pPr>
        <w:pStyle w:val="RQCaption"/>
      </w:pPr>
      <w:r>
        <w:rPr>
          <w:b w:val="0"/>
          <w:i/>
          <w:color w:val="66707C"/>
          <w:sz w:val="15"/>
          <w:lang w:val="en-US"/>
        </w:rPr>
        <w:t>Figure 14. Identified responses show status and offer an audited Reopen action to authorized managers.</w:t>
      </w:r>
    </w:p>
    <w:p>
      <w:pPr>
        <w:pStyle w:val="RQEyebrow"/>
      </w:pPr>
      <w:r>
        <w:rPr>
          <w:b/>
          <w:i w:val="0"/>
          <w:color w:val="FF7A1A"/>
          <w:lang w:val="en-US"/>
        </w:rPr>
        <w:t>08 · ADMINISTRATION AND TROUBLESHOOTING</w:t>
      </w:r>
    </w:p>
    <w:p>
      <w:pPr>
        <w:pStyle w:val="Heading1"/>
        <w:pBdr>
          <w:bottom w:val="single" w:sz="16" w:space="5" w:color="FF7A1A"/>
        </w:pBdr>
        <w:keepNext w:val="1"/>
      </w:pPr>
      <w:r>
        <w:rPr>
          <w:b/>
          <w:i w:val="0"/>
          <w:color w:val="11161E"/>
          <w:lang w:val="en-US"/>
        </w:rPr>
        <w:t>Operate safely</w:t>
      </w:r>
    </w:p>
    <w:p>
      <w:pPr>
        <w:pStyle w:val="Heading2"/>
        <w:keepNext w:val="1"/>
      </w:pPr>
      <w:r>
        <w:rPr>
          <w:b/>
          <w:i w:val="0"/>
          <w:color w:val="5B2E91"/>
          <w:lang w:val="en-US"/>
        </w:rPr>
        <w:t>RhoMinds administration</w:t>
      </w:r>
    </w:p>
    <w:p>
      <w:pPr>
        <w:pStyle w:val="ListBullet"/>
        <w:spacing w:after="40"/>
      </w:pPr>
      <w:r>
        <w:rPr>
          <w:b w:val="0"/>
          <w:i w:val="0"/>
          <w:lang w:val="en-US"/>
        </w:rPr>
        <w:t>Create and approve tenants, register the first owner, and manage the RhoMinds fallback email provider.</w:t>
      </w:r>
    </w:p>
    <w:p>
      <w:pPr>
        <w:pStyle w:val="ListBullet"/>
        <w:spacing w:after="40"/>
      </w:pPr>
      <w:r>
        <w:rPr>
          <w:b w:val="0"/>
          <w:i w:val="0"/>
          <w:lang w:val="en-US"/>
        </w:rPr>
        <w:t>Create Stripe plans with recipient and sending limits, including Unlimited for either dimension.</w:t>
      </w:r>
    </w:p>
    <w:p>
      <w:pPr>
        <w:pStyle w:val="ListBullet"/>
        <w:spacing w:after="40"/>
      </w:pPr>
      <w:r>
        <w:rPr>
          <w:b w:val="0"/>
          <w:i w:val="0"/>
          <w:lang w:val="en-US"/>
        </w:rPr>
        <w:t>Apply audited complimentary or manual subscription overrides when authorized.</w:t>
      </w:r>
    </w:p>
    <w:p>
      <w:pPr>
        <w:pStyle w:val="ListBullet"/>
        <w:spacing w:after="40"/>
      </w:pPr>
      <w:r>
        <w:rPr>
          <w:b w:val="0"/>
          <w:i w:val="0"/>
          <w:lang w:val="en-US"/>
        </w:rPr>
        <w:t>The temporary RhoMinds superuser bypass works across every tenant and recipient login and records every use. It is an interim release behavior, not the intended production end state.</w:t>
      </w:r>
    </w:p>
    <w:p>
      <w:pPr>
        <w:spacing w:before="80" w:after="0"/>
        <w:jc w:val="center"/>
      </w:pPr>
      <w:r>
        <w:drawing>
          <wp:inline xmlns:a="http://schemas.openxmlformats.org/drawingml/2006/main" xmlns:pic="http://schemas.openxmlformats.org/drawingml/2006/picture">
            <wp:extent cx="5147543" cy="3528000"/>
            <wp:docPr id="16" name="Picture 16" descr="RhoMinds super admin company administration and fallback email provider." title="RhoMinds super admin company administration and fallback email provider."/>
            <wp:cNvGraphicFramePr>
              <a:graphicFrameLocks noChangeAspect="1"/>
            </wp:cNvGraphicFramePr>
            <a:graphic>
              <a:graphicData uri="http://schemas.openxmlformats.org/drawingml/2006/picture">
                <pic:pic>
                  <pic:nvPicPr>
                    <pic:cNvPr id="0" name="super-admin.png"/>
                    <pic:cNvPicPr/>
                  </pic:nvPicPr>
                  <pic:blipFill>
                    <a:blip r:embed="rId25"/>
                    <a:stretch>
                      <a:fillRect/>
                    </a:stretch>
                  </pic:blipFill>
                  <pic:spPr>
                    <a:xfrm>
                      <a:off x="0" y="0"/>
                      <a:ext cx="5147543" cy="3528000"/>
                    </a:xfrm>
                    <a:prstGeom prst="rect"/>
                  </pic:spPr>
                </pic:pic>
              </a:graphicData>
            </a:graphic>
          </wp:inline>
        </w:drawing>
      </w:r>
    </w:p>
    <w:p>
      <w:pPr>
        <w:pStyle w:val="RQCaption"/>
      </w:pPr>
      <w:r>
        <w:rPr>
          <w:b w:val="0"/>
          <w:i/>
          <w:color w:val="66707C"/>
          <w:sz w:val="15"/>
          <w:lang w:val="en-US"/>
        </w:rPr>
        <w:t>Figure 15. Administration sign-in uses the official RhoMinds mark and contains no transient security banner.</w:t>
      </w:r>
    </w:p>
    <w:p>
      <w:pPr>
        <w:spacing w:before="80" w:after="0"/>
        <w:jc w:val="center"/>
      </w:pPr>
      <w:r>
        <w:drawing>
          <wp:inline xmlns:a="http://schemas.openxmlformats.org/drawingml/2006/main" xmlns:pic="http://schemas.openxmlformats.org/drawingml/2006/picture">
            <wp:extent cx="4330269" cy="4320000"/>
            <wp:docPr id="17" name="Picture 17" descr="Stripe billing administration with unlimited plan and manual subscription controls." title="Stripe billing administration with unlimited plan and manual subscription controls."/>
            <wp:cNvGraphicFramePr>
              <a:graphicFrameLocks noChangeAspect="1"/>
            </wp:cNvGraphicFramePr>
            <a:graphic>
              <a:graphicData uri="http://schemas.openxmlformats.org/drawingml/2006/picture">
                <pic:pic>
                  <pic:nvPicPr>
                    <pic:cNvPr id="0" name="billing.png"/>
                    <pic:cNvPicPr/>
                  </pic:nvPicPr>
                  <pic:blipFill>
                    <a:blip r:embed="rId26"/>
                    <a:stretch>
                      <a:fillRect/>
                    </a:stretch>
                  </pic:blipFill>
                  <pic:spPr>
                    <a:xfrm>
                      <a:off x="0" y="0"/>
                      <a:ext cx="4330269" cy="4320000"/>
                    </a:xfrm>
                    <a:prstGeom prst="rect"/>
                  </pic:spPr>
                </pic:pic>
              </a:graphicData>
            </a:graphic>
          </wp:inline>
        </w:drawing>
      </w:r>
    </w:p>
    <w:p>
      <w:pPr>
        <w:pStyle w:val="RQCaption"/>
      </w:pPr>
      <w:r>
        <w:rPr>
          <w:b w:val="0"/>
          <w:i/>
          <w:color w:val="66707C"/>
          <w:sz w:val="15"/>
          <w:lang w:val="en-US"/>
        </w:rPr>
        <w:t>Figure 16. Billing plans and manual subscriptions use the same two limit dimensions as sending enforcement.</w:t>
      </w:r>
    </w:p>
    <w:p>
      <w:pPr>
        <w:pStyle w:val="Heading2"/>
        <w:keepNext w:val="1"/>
      </w:pPr>
      <w:r>
        <w:rPr>
          <w:b/>
          <w:i w:val="0"/>
          <w:color w:val="5B2E91"/>
          <w:lang w:val="en-US"/>
        </w:rPr>
        <w:t>Troubleshooting quick reference</w:t>
      </w:r>
    </w:p>
    <w:tbl>
      <w:tblPr>
        <w:tblW w:type="dxa" w:w="9892"/>
        <w:jc w:val="center"/>
        <w:tblLayout w:type="fixed"/>
        <w:tblLook w:firstColumn="1" w:firstRow="1" w:lastColumn="0" w:lastRow="0" w:noHBand="0" w:noVBand="1" w:val="04A0"/>
        <w:tblInd w:w="120" w:type="dxa"/>
      </w:tblPr>
      <w:tblGrid>
        <w:gridCol w:w="2267"/>
        <w:gridCol w:w="2948"/>
        <w:gridCol w:w="4677"/>
      </w:tblGrid>
      <w:tr>
        <w:trPr>
          <w:tblHeader w:val="true"/>
          <w:cantSplit w:val="true"/>
        </w:trPr>
        <w:tc>
          <w:tcPr>
            <w:tcW w:type="dxa" w:w="2267"/>
            <w:shd w:fill="11161E"/>
            <w:tcMar>
              <w:top w:w="110" w:type="dxa"/>
              <w:start w:w="120" w:type="dxa"/>
              <w:bottom w:w="110" w:type="dxa"/>
              <w:end w:w="120" w:type="dxa"/>
            </w:tcMar>
            <w:vAlign w:val="center"/>
          </w:tcPr>
          <w:p>
            <w:pPr>
              <w:spacing w:after="0"/>
            </w:pPr>
            <w:r>
              <w:rPr>
                <w:b/>
                <w:color w:val="FFFFFF"/>
                <w:sz w:val="15"/>
              </w:rPr>
              <w:t>Symptom</w:t>
            </w:r>
          </w:p>
        </w:tc>
        <w:tc>
          <w:tcPr>
            <w:tcW w:type="dxa" w:w="2948"/>
            <w:shd w:fill="11161E"/>
            <w:tcMar>
              <w:top w:w="110" w:type="dxa"/>
              <w:start w:w="120" w:type="dxa"/>
              <w:bottom w:w="110" w:type="dxa"/>
              <w:end w:w="120" w:type="dxa"/>
            </w:tcMar>
            <w:vAlign w:val="center"/>
          </w:tcPr>
          <w:p>
            <w:pPr>
              <w:spacing w:after="0"/>
            </w:pPr>
            <w:r>
              <w:rPr>
                <w:b/>
                <w:color w:val="FFFFFF"/>
                <w:sz w:val="15"/>
              </w:rPr>
              <w:t>Check first</w:t>
            </w:r>
          </w:p>
        </w:tc>
        <w:tc>
          <w:tcPr>
            <w:tcW w:type="dxa" w:w="4677"/>
            <w:shd w:fill="11161E"/>
            <w:tcMar>
              <w:top w:w="110" w:type="dxa"/>
              <w:start w:w="120" w:type="dxa"/>
              <w:bottom w:w="110" w:type="dxa"/>
              <w:end w:w="120" w:type="dxa"/>
            </w:tcMar>
            <w:vAlign w:val="center"/>
          </w:tcPr>
          <w:p>
            <w:pPr>
              <w:spacing w:after="0"/>
            </w:pPr>
            <w:r>
              <w:rPr>
                <w:b/>
                <w:color w:val="FFFFFF"/>
                <w:sz w:val="15"/>
              </w:rPr>
              <w:t>Resolution</w:t>
            </w:r>
          </w:p>
        </w:tc>
      </w:tr>
      <w:tr>
        <w:trPr>
          <w:cantSplit w:val="true"/>
        </w:trPr>
        <w:tc>
          <w:tcPr>
            <w:tcW w:type="dxa" w:w="2267"/>
            <w:tcMar>
              <w:top w:w="110" w:type="dxa"/>
              <w:start w:w="120" w:type="dxa"/>
              <w:bottom w:w="110" w:type="dxa"/>
              <w:end w:w="120" w:type="dxa"/>
            </w:tcMar>
            <w:vAlign w:val="top"/>
          </w:tcPr>
          <w:p>
            <w:pPr>
              <w:spacing w:after="0"/>
            </w:pPr>
            <w:r>
              <w:rPr>
                <w:color w:val="252B33"/>
                <w:sz w:val="15"/>
              </w:rPr>
              <w:t>Recipient cannot open a link</w:t>
            </w:r>
          </w:p>
        </w:tc>
        <w:tc>
          <w:tcPr>
            <w:tcW w:type="dxa" w:w="2948"/>
            <w:tcMar>
              <w:top w:w="110" w:type="dxa"/>
              <w:start w:w="120" w:type="dxa"/>
              <w:bottom w:w="110" w:type="dxa"/>
              <w:end w:w="120" w:type="dxa"/>
            </w:tcMar>
            <w:vAlign w:val="top"/>
          </w:tcPr>
          <w:p>
            <w:pPr>
              <w:spacing w:after="0"/>
            </w:pPr>
            <w:r>
              <w:rPr>
                <w:color w:val="252B33"/>
                <w:sz w:val="15"/>
              </w:rPr>
              <w:t>Tenant/sending/recipient/questionnaire IDs, expiry, sending state, access mode</w:t>
            </w:r>
          </w:p>
        </w:tc>
        <w:tc>
          <w:tcPr>
            <w:tcW w:type="dxa" w:w="4677"/>
            <w:tcMar>
              <w:top w:w="110" w:type="dxa"/>
              <w:start w:w="120" w:type="dxa"/>
              <w:bottom w:w="110" w:type="dxa"/>
              <w:end w:w="120" w:type="dxa"/>
            </w:tcMar>
            <w:vAlign w:val="top"/>
          </w:tcPr>
          <w:p>
            <w:pPr>
              <w:spacing w:after="0"/>
            </w:pPr>
            <w:r>
              <w:rPr>
                <w:color w:val="252B33"/>
                <w:sz w:val="15"/>
              </w:rPr>
              <w:t>Resend the original full link, restore the sending if appropriate, or sign in for account mode.</w:t>
            </w:r>
          </w:p>
        </w:tc>
      </w:tr>
      <w:tr>
        <w:trPr>
          <w:cantSplit w:val="true"/>
        </w:trPr>
        <w:tc>
          <w:tcPr>
            <w:tcW w:type="dxa" w:w="2267"/>
            <w:tcMar>
              <w:top w:w="110" w:type="dxa"/>
              <w:start w:w="120" w:type="dxa"/>
              <w:bottom w:w="110" w:type="dxa"/>
              <w:end w:w="120" w:type="dxa"/>
            </w:tcMar>
            <w:shd w:fill="F4F5F7"/>
            <w:vAlign w:val="top"/>
          </w:tcPr>
          <w:p>
            <w:pPr>
              <w:spacing w:after="0"/>
            </w:pPr>
            <w:r>
              <w:rPr>
                <w:color w:val="252B33"/>
                <w:sz w:val="15"/>
              </w:rPr>
              <w:t>Six-character code fails</w:t>
            </w:r>
          </w:p>
        </w:tc>
        <w:tc>
          <w:tcPr>
            <w:tcW w:type="dxa" w:w="2948"/>
            <w:tcMar>
              <w:top w:w="110" w:type="dxa"/>
              <w:start w:w="120" w:type="dxa"/>
              <w:bottom w:w="110" w:type="dxa"/>
              <w:end w:w="120" w:type="dxa"/>
            </w:tcMar>
            <w:shd w:fill="F4F5F7"/>
            <w:vAlign w:val="top"/>
          </w:tcPr>
          <w:p>
            <w:pPr>
              <w:spacing w:after="0"/>
            </w:pPr>
            <w:r>
              <w:rPr>
                <w:color w:val="252B33"/>
                <w:sz w:val="15"/>
              </w:rPr>
              <w:t>Characters, case, expiry, and the exact sending</w:t>
            </w:r>
          </w:p>
        </w:tc>
        <w:tc>
          <w:tcPr>
            <w:tcW w:type="dxa" w:w="4677"/>
            <w:tcMar>
              <w:top w:w="110" w:type="dxa"/>
              <w:start w:w="120" w:type="dxa"/>
              <w:bottom w:w="110" w:type="dxa"/>
              <w:end w:w="120" w:type="dxa"/>
            </w:tcMar>
            <w:shd w:fill="F4F5F7"/>
            <w:vAlign w:val="top"/>
          </w:tcPr>
          <w:p>
            <w:pPr>
              <w:spacing w:after="0"/>
            </w:pPr>
            <w:r>
              <w:rPr>
                <w:color w:val="252B33"/>
                <w:sz w:val="15"/>
              </w:rPr>
              <w:t>Normalize spaces/dashes, then issue a new sending or invitation when expired. Codes do not transfer between sendings.</w:t>
            </w:r>
          </w:p>
        </w:tc>
      </w:tr>
      <w:tr>
        <w:trPr>
          <w:cantSplit w:val="true"/>
        </w:trPr>
        <w:tc>
          <w:tcPr>
            <w:tcW w:type="dxa" w:w="2267"/>
            <w:tcMar>
              <w:top w:w="110" w:type="dxa"/>
              <w:start w:w="120" w:type="dxa"/>
              <w:bottom w:w="110" w:type="dxa"/>
              <w:end w:w="120" w:type="dxa"/>
            </w:tcMar>
            <w:vAlign w:val="top"/>
          </w:tcPr>
          <w:p>
            <w:pPr>
              <w:spacing w:after="0"/>
            </w:pPr>
            <w:r>
              <w:rPr>
                <w:color w:val="252B33"/>
                <w:sz w:val="15"/>
              </w:rPr>
              <w:t>Question is missing</w:t>
            </w:r>
          </w:p>
        </w:tc>
        <w:tc>
          <w:tcPr>
            <w:tcW w:type="dxa" w:w="2948"/>
            <w:tcMar>
              <w:top w:w="110" w:type="dxa"/>
              <w:start w:w="120" w:type="dxa"/>
              <w:bottom w:w="110" w:type="dxa"/>
              <w:end w:w="120" w:type="dxa"/>
            </w:tcMar>
            <w:vAlign w:val="top"/>
          </w:tcPr>
          <w:p>
            <w:pPr>
              <w:spacing w:after="0"/>
            </w:pPr>
            <w:r>
              <w:rPr>
                <w:color w:val="252B33"/>
                <w:sz w:val="15"/>
              </w:rPr>
              <w:t>Visible-when rule and source answer</w:t>
            </w:r>
          </w:p>
        </w:tc>
        <w:tc>
          <w:tcPr>
            <w:tcW w:type="dxa" w:w="4677"/>
            <w:tcMar>
              <w:top w:w="110" w:type="dxa"/>
              <w:start w:w="120" w:type="dxa"/>
              <w:bottom w:w="110" w:type="dxa"/>
              <w:end w:w="120" w:type="dxa"/>
            </w:tcMar>
            <w:vAlign w:val="top"/>
          </w:tcPr>
          <w:p>
            <w:pPr>
              <w:spacing w:after="0"/>
            </w:pPr>
            <w:r>
              <w:rPr>
                <w:color w:val="252B33"/>
                <w:sz w:val="15"/>
              </w:rPr>
              <w:t>Preview the dependency and expected JSON values; hidden is intentional when the rule does not match.</w:t>
            </w:r>
          </w:p>
        </w:tc>
      </w:tr>
      <w:tr>
        <w:trPr>
          <w:cantSplit w:val="true"/>
        </w:trPr>
        <w:tc>
          <w:tcPr>
            <w:tcW w:type="dxa" w:w="2267"/>
            <w:tcMar>
              <w:top w:w="110" w:type="dxa"/>
              <w:start w:w="120" w:type="dxa"/>
              <w:bottom w:w="110" w:type="dxa"/>
              <w:end w:w="120" w:type="dxa"/>
            </w:tcMar>
            <w:shd w:fill="F4F5F7"/>
            <w:vAlign w:val="top"/>
          </w:tcPr>
          <w:p>
            <w:pPr>
              <w:spacing w:after="0"/>
            </w:pPr>
            <w:r>
              <w:rPr>
                <w:color w:val="252B33"/>
                <w:sz w:val="15"/>
              </w:rPr>
              <w:t>Cannot create or dispatch</w:t>
            </w:r>
          </w:p>
        </w:tc>
        <w:tc>
          <w:tcPr>
            <w:tcW w:type="dxa" w:w="2948"/>
            <w:tcMar>
              <w:top w:w="110" w:type="dxa"/>
              <w:start w:w="120" w:type="dxa"/>
              <w:bottom w:w="110" w:type="dxa"/>
              <w:end w:w="120" w:type="dxa"/>
            </w:tcMar>
            <w:shd w:fill="F4F5F7"/>
            <w:vAlign w:val="top"/>
          </w:tcPr>
          <w:p>
            <w:pPr>
              <w:spacing w:after="0"/>
            </w:pPr>
            <w:r>
              <w:rPr>
                <w:color w:val="252B33"/>
                <w:sz w:val="15"/>
              </w:rPr>
              <w:t>Subscription status and both limits</w:t>
            </w:r>
          </w:p>
        </w:tc>
        <w:tc>
          <w:tcPr>
            <w:tcW w:type="dxa" w:w="4677"/>
            <w:tcMar>
              <w:top w:w="110" w:type="dxa"/>
              <w:start w:w="120" w:type="dxa"/>
              <w:bottom w:w="110" w:type="dxa"/>
              <w:end w:w="120" w:type="dxa"/>
            </w:tcMar>
            <w:shd w:fill="F4F5F7"/>
            <w:vAlign w:val="top"/>
          </w:tcPr>
          <w:p>
            <w:pPr>
              <w:spacing w:after="0"/>
            </w:pPr>
            <w:r>
              <w:rPr>
                <w:color w:val="252B33"/>
                <w:sz w:val="15"/>
              </w:rPr>
              <w:t>Choose a valid plan or ask RhoMinds for an authorized audited override.</w:t>
            </w:r>
          </w:p>
        </w:tc>
      </w:tr>
      <w:tr>
        <w:trPr>
          <w:cantSplit w:val="true"/>
        </w:trPr>
        <w:tc>
          <w:tcPr>
            <w:tcW w:type="dxa" w:w="2267"/>
            <w:tcMar>
              <w:top w:w="110" w:type="dxa"/>
              <w:start w:w="120" w:type="dxa"/>
              <w:bottom w:w="110" w:type="dxa"/>
              <w:end w:w="120" w:type="dxa"/>
            </w:tcMar>
            <w:vAlign w:val="top"/>
          </w:tcPr>
          <w:p>
            <w:pPr>
              <w:spacing w:after="0"/>
            </w:pPr>
            <w:r>
              <w:rPr>
                <w:color w:val="252B33"/>
                <w:sz w:val="15"/>
              </w:rPr>
              <w:t>No email leaves the queue</w:t>
            </w:r>
          </w:p>
        </w:tc>
        <w:tc>
          <w:tcPr>
            <w:tcW w:type="dxa" w:w="2948"/>
            <w:tcMar>
              <w:top w:w="110" w:type="dxa"/>
              <w:start w:w="120" w:type="dxa"/>
              <w:bottom w:w="110" w:type="dxa"/>
              <w:end w:w="120" w:type="dxa"/>
            </w:tcMar>
            <w:vAlign w:val="top"/>
          </w:tcPr>
          <w:p>
            <w:pPr>
              <w:spacing w:after="0"/>
            </w:pPr>
            <w:r>
              <w:rPr>
                <w:color w:val="252B33"/>
                <w:sz w:val="15"/>
              </w:rPr>
              <w:t>Tenant provider, then RhoMinds fallback</w:t>
            </w:r>
          </w:p>
        </w:tc>
        <w:tc>
          <w:tcPr>
            <w:tcW w:type="dxa" w:w="4677"/>
            <w:tcMar>
              <w:top w:w="110" w:type="dxa"/>
              <w:start w:w="120" w:type="dxa"/>
              <w:bottom w:w="110" w:type="dxa"/>
              <w:end w:w="120" w:type="dxa"/>
            </w:tcMar>
            <w:vAlign w:val="top"/>
          </w:tcPr>
          <w:p>
            <w:pPr>
              <w:spacing w:after="0"/>
            </w:pPr>
            <w:r>
              <w:rPr>
                <w:color w:val="252B33"/>
                <w:sz w:val="15"/>
              </w:rPr>
              <w:t>Configure exactly one complete SMTP or Azure provider. Do not configure both.</w:t>
            </w:r>
          </w:p>
        </w:tc>
      </w:tr>
      <w:tr>
        <w:trPr>
          <w:cantSplit w:val="true"/>
        </w:trPr>
        <w:tc>
          <w:tcPr>
            <w:tcW w:type="dxa" w:w="2267"/>
            <w:tcMar>
              <w:top w:w="110" w:type="dxa"/>
              <w:start w:w="120" w:type="dxa"/>
              <w:bottom w:w="110" w:type="dxa"/>
              <w:end w:w="120" w:type="dxa"/>
            </w:tcMar>
            <w:shd w:fill="F4F5F7"/>
            <w:vAlign w:val="top"/>
          </w:tcPr>
          <w:p>
            <w:pPr>
              <w:spacing w:after="0"/>
            </w:pPr>
            <w:r>
              <w:rPr>
                <w:color w:val="252B33"/>
                <w:sz w:val="15"/>
              </w:rPr>
              <w:t>Anonymous analytics are blank</w:t>
            </w:r>
          </w:p>
        </w:tc>
        <w:tc>
          <w:tcPr>
            <w:tcW w:type="dxa" w:w="2948"/>
            <w:tcMar>
              <w:top w:w="110" w:type="dxa"/>
              <w:start w:w="120" w:type="dxa"/>
              <w:bottom w:w="110" w:type="dxa"/>
              <w:end w:w="120" w:type="dxa"/>
            </w:tcMar>
            <w:shd w:fill="F4F5F7"/>
            <w:vAlign w:val="top"/>
          </w:tcPr>
          <w:p>
            <w:pPr>
              <w:spacing w:after="0"/>
            </w:pPr>
            <w:r>
              <w:rPr>
                <w:color w:val="252B33"/>
                <w:sz w:val="15"/>
              </w:rPr>
              <w:t>Submitted response count</w:t>
            </w:r>
          </w:p>
        </w:tc>
        <w:tc>
          <w:tcPr>
            <w:tcW w:type="dxa" w:w="4677"/>
            <w:tcMar>
              <w:top w:w="110" w:type="dxa"/>
              <w:start w:w="120" w:type="dxa"/>
              <w:bottom w:w="110" w:type="dxa"/>
              <w:end w:w="120" w:type="dxa"/>
            </w:tcMar>
            <w:shd w:fill="F4F5F7"/>
            <w:vAlign w:val="top"/>
          </w:tcPr>
          <w:p>
            <w:pPr>
              <w:spacing w:after="0"/>
            </w:pPr>
            <w:r>
              <w:rPr>
                <w:color w:val="252B33"/>
                <w:sz w:val="15"/>
              </w:rPr>
              <w:t>Wait until at least five anonymous responses have been submitted.</w:t>
            </w:r>
          </w:p>
        </w:tc>
      </w:tr>
      <w:tr>
        <w:trPr>
          <w:cantSplit w:val="true"/>
        </w:trPr>
        <w:tc>
          <w:tcPr>
            <w:tcW w:type="dxa" w:w="2267"/>
            <w:tcMar>
              <w:top w:w="110" w:type="dxa"/>
              <w:start w:w="120" w:type="dxa"/>
              <w:bottom w:w="110" w:type="dxa"/>
              <w:end w:w="120" w:type="dxa"/>
            </w:tcMar>
            <w:vAlign w:val="top"/>
          </w:tcPr>
          <w:p>
            <w:pPr>
              <w:spacing w:after="0"/>
            </w:pPr>
            <w:r>
              <w:rPr>
                <w:color w:val="252B33"/>
                <w:sz w:val="15"/>
              </w:rPr>
              <w:t>Submitted response needs correction</w:t>
            </w:r>
          </w:p>
        </w:tc>
        <w:tc>
          <w:tcPr>
            <w:tcW w:type="dxa" w:w="2948"/>
            <w:tcMar>
              <w:top w:w="110" w:type="dxa"/>
              <w:start w:w="120" w:type="dxa"/>
              <w:bottom w:w="110" w:type="dxa"/>
              <w:end w:w="120" w:type="dxa"/>
            </w:tcMar>
            <w:vAlign w:val="top"/>
          </w:tcPr>
          <w:p>
            <w:pPr>
              <w:spacing w:after="0"/>
            </w:pPr>
            <w:r>
              <w:rPr>
                <w:color w:val="252B33"/>
                <w:sz w:val="15"/>
              </w:rPr>
              <w:t>Identity mode and user role</w:t>
            </w:r>
          </w:p>
        </w:tc>
        <w:tc>
          <w:tcPr>
            <w:tcW w:type="dxa" w:w="4677"/>
            <w:tcMar>
              <w:top w:w="110" w:type="dxa"/>
              <w:start w:w="120" w:type="dxa"/>
              <w:bottom w:w="110" w:type="dxa"/>
              <w:end w:w="120" w:type="dxa"/>
            </w:tcMar>
            <w:vAlign w:val="top"/>
          </w:tcPr>
          <w:p>
            <w:pPr>
              <w:spacing w:after="0"/>
            </w:pPr>
            <w:r>
              <w:rPr>
                <w:color w:val="252B33"/>
                <w:sz w:val="15"/>
              </w:rPr>
              <w:t>An authorized manager may reopen identified responses only; the action is audited.</w:t>
            </w:r>
          </w:p>
        </w:tc>
      </w:tr>
    </w:tbl>
    <w:p>
      <w:pPr>
        <w:spacing w:after="20"/>
      </w:pPr>
    </w:p>
    <w:tbl>
      <w:tblPr>
        <w:tblW w:type="dxa" w:w="9900"/>
        <w:jc w:val="center"/>
        <w:tblLayout w:type="fixed"/>
        <w:tblLook w:firstColumn="1" w:firstRow="1" w:lastColumn="0" w:lastRow="0" w:noHBand="0" w:noVBand="1" w:val="04A0"/>
        <w:tblInd w:w="180" w:type="dxa"/>
      </w:tblPr>
      <w:tblGrid>
        <w:gridCol w:w="9900"/>
      </w:tblGrid>
      <w:tr>
        <w:trPr>
          <w:cantSplit w:val="true"/>
        </w:trPr>
        <w:tc>
          <w:tcPr>
            <w:tcW w:type="dxa" w:w="9900"/>
            <w:shd w:fill="E9F8F5"/>
            <w:tcMar>
              <w:top w:w="140" w:type="dxa"/>
              <w:start w:w="180" w:type="dxa"/>
              <w:bottom w:w="140" w:type="dxa"/>
              <w:end w:w="180" w:type="dxa"/>
            </w:tcMar>
          </w:tcPr>
          <w:p>
            <w:pPr>
              <w:spacing w:after="40"/>
            </w:pPr>
            <w:r>
              <w:rPr>
                <w:b/>
                <w:i w:val="0"/>
                <w:color w:val="5B2E91"/>
                <w:lang w:val="en-US"/>
              </w:rPr>
              <w:t xml:space="preserve">Safe operating rule  </w:t>
            </w:r>
            <w:r>
              <w:rPr>
                <w:b w:val="0"/>
                <w:i w:val="0"/>
                <w:lang w:val="en-US"/>
              </w:rPr>
              <w:t>Never test with real delivery credentials or chargeable Stripe settings in a local documentation environment. Health checks, preview, and synthetic data are sufficient for a workflow demonstration.</w:t>
            </w:r>
          </w:p>
        </w:tc>
      </w:tr>
    </w:tbl>
    <w:p>
      <w:pPr>
        <w:spacing w:after="0"/>
      </w:pPr>
    </w:p>
    <w:sectPr w:rsidR="00FC693F" w:rsidRPr="0006063C" w:rsidSect="00034616">
      <w:headerReference w:type="default" r:id="rId9"/>
      <w:footerReference w:type="default" r:id="rId10"/>
      <w:pgSz w:w="11906" w:h="16838"/>
      <w:pgMar w:top="879" w:right="935" w:bottom="765" w:left="935" w:header="312" w:footer="31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035"/>
      <w:jc w:val="center"/>
      <w:tblLayout w:type="fixed"/>
      <w:tblLook w:firstColumn="1" w:firstRow="1" w:lastColumn="0" w:lastRow="0" w:noHBand="0" w:noVBand="1" w:val="04A0"/>
      <w:tblInd w:w="120" w:type="dxa"/>
    </w:tblPr>
    <w:tblGrid>
      <w:gridCol w:w="7185"/>
      <w:gridCol w:w="2850"/>
    </w:tblGrid>
    <w:tr>
      <w:tc>
        <w:tcPr>
          <w:tcW w:type="dxa" w:w="7185"/>
        </w:tcPr>
        <w:p>
          <w:pPr>
            <w:spacing w:after="0"/>
          </w:pPr>
          <w:r>
            <w:rPr>
              <w:color w:val="66707C"/>
              <w:sz w:val="15"/>
            </w:rPr>
            <w:t>RhoMinds · RhoQuestionnaire · Documentation v1.0 · 27 July 2026</w:t>
          </w:r>
        </w:p>
      </w:tc>
      <w:tc>
        <w:tcPr>
          <w:tcW w:type="dxa" w:w="2850"/>
        </w:tcPr>
        <w:p>
          <w:pPr>
            <w:spacing w:after="0"/>
            <w:jc w:val="right"/>
          </w:pPr>
          <w:r>
            <w:rPr>
              <w:color w:val="66707C"/>
              <w:sz w:val="15"/>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035"/>
      <w:jc w:val="center"/>
      <w:tblLayout w:type="fixed"/>
      <w:tblLook w:firstColumn="1" w:firstRow="1" w:lastColumn="0" w:lastRow="0" w:noHBand="0" w:noVBand="1" w:val="04A0"/>
      <w:tblInd w:w="120" w:type="dxa"/>
    </w:tblPr>
    <w:tblGrid>
      <w:gridCol w:w="5868"/>
      <w:gridCol w:w="4167"/>
    </w:tblGrid>
    <w:tr>
      <w:tc>
        <w:tcPr>
          <w:tcW w:type="dxa" w:w="5868"/>
          <w:shd w:fill="11161E"/>
        </w:tcPr>
        <w:p>
          <w:pPr>
            <w:spacing w:after="0"/>
          </w:pPr>
          <w:r>
            <w:rPr>
              <w:b/>
              <w:color w:val="FFFFFF"/>
              <w:sz w:val="17"/>
            </w:rPr>
            <w:t>RHOQUESTIONNAIRE</w:t>
          </w:r>
        </w:p>
      </w:tc>
      <w:tc>
        <w:tcPr>
          <w:tcW w:type="dxa" w:w="4167"/>
          <w:shd w:fill="11161E"/>
        </w:tcPr>
        <w:p>
          <w:pPr>
            <w:spacing w:after="0"/>
            <w:jc w:val="right"/>
          </w:pPr>
          <w:r>
            <w:rPr>
              <w:b/>
              <w:color w:val="2EC4B6"/>
              <w:sz w:val="16"/>
            </w:rPr>
            <w:t>USER GUIDE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decimal"/>
      <w:lvlText w:val="%1."/>
      <w:suff w:val="space"/>
      <w:pPr>
        <w:tabs>
          <w:tab w:val="num" w:pos="480"/>
        </w:tabs>
        <w:ind w:left="480" w:hanging="300"/>
      </w:pPr>
    </w:lvl>
    <w:lvl w:ilvl="1">
      <w:start w:val="1"/>
      <w:numFmt w:val="lowerLetter"/>
      <w:lvlText w:val="%2."/>
      <w:suff w:val="space"/>
      <w:pPr>
        <w:tabs>
          <w:tab w:val="num" w:pos="840"/>
        </w:tabs>
        <w:ind w:left="840" w:hanging="300"/>
      </w:pPr>
    </w:lvl>
    <w:lvl w:ilvl="2">
      <w:start w:val="1"/>
      <w:numFmt w:val="lowerLetter"/>
      <w:lvlText w:val="%2."/>
      <w:suff w:val="space"/>
      <w:pPr>
        <w:tabs>
          <w:tab w:val="num" w:pos="1200"/>
        </w:tabs>
        <w:ind w:left="1200" w:hanging="30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color w:val="252B3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ptos Display" w:hAnsi="Aptos Display"/>
      <w:b/>
      <w:bCs/>
      <w:color w:val="11161E"/>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b/>
      <w:bCs/>
      <w:color w:val="5B2E91"/>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252B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1161E"/>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val="0"/>
      <w:i/>
      <w:iCs/>
      <w:color w:val="66707C"/>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QEyebrow">
    <w:name w:val="RQ Eyebrow"/>
    <w:pPr>
      <w:spacing w:after="80"/>
    </w:pPr>
    <w:rPr>
      <w:rFonts w:ascii="Aptos" w:hAnsi="Aptos"/>
      <w:b/>
      <w:color w:val="FF7A1A"/>
      <w:sz w:val="15"/>
    </w:rPr>
  </w:style>
  <w:style w:type="paragraph" w:customStyle="1" w:styleId="RQLead">
    <w:name w:val="RQ Lead"/>
    <w:pPr>
      <w:spacing w:line="283" w:lineRule="auto" w:after="160"/>
    </w:pPr>
    <w:rPr>
      <w:rFonts w:ascii="Aptos" w:hAnsi="Aptos"/>
      <w:color w:val="66707C"/>
      <w:sz w:val="22"/>
    </w:rPr>
  </w:style>
  <w:style w:type="paragraph" w:customStyle="1" w:styleId="RQCaption">
    <w:name w:val="RQ Caption"/>
    <w:pPr>
      <w:spacing w:before="40" w:after="140"/>
      <w:jc w:val="center"/>
    </w:pPr>
    <w:rPr>
      <w:rFonts w:ascii="Aptos" w:hAnsi="Aptos"/>
      <w:i/>
      <w:color w:val="66707C"/>
      <w:sz w:val="15"/>
    </w:rPr>
  </w:style>
  <w:style w:type="paragraph" w:customStyle="1" w:styleId="RQCode">
    <w:name w:val="RQ Code"/>
    <w:pPr>
      <w:spacing w:after="60"/>
      <w:ind w:left="227"/>
    </w:pPr>
    <w:rPr>
      <w:rFonts w:ascii="Cascadia Mono" w:hAnsi="Cascadia Mono"/>
      <w:color w:val="11161E"/>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RhoQuestionnaire User Guide</dc:title>
  <dc:subject>Operational guide for company administrators, questionnaire managers, recipient managers, analysts, and recipients.</dc:subject>
  <dc:creator>RhoMinds</dc:creator>
  <cp:keywords>RhoQuestionnaire, questionnaire, survey, tenant, recipients, analytics, RhoMinds</cp:keywords>
  <dc:description>Source-grounded RhoQuestionnaire documentation. Contains synthetic example data only.</dc:description>
  <cp:lastModifiedBy/>
  <cp:revision>1</cp:revision>
  <dcterms:created xsi:type="dcterms:W3CDTF">2013-12-23T23:15:00Z</dcterms:created>
  <dcterms:modified xsi:type="dcterms:W3CDTF">2013-12-23T23:15:00Z</dcterms:modified>
  <cp:category>User documentation</cp:category>
</cp:coreProperties>
</file>